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C7D1" w14:textId="54C3753F" w:rsidR="008D18A8" w:rsidRPr="000914C0" w:rsidRDefault="00B9622F" w:rsidP="008D18A8">
      <w:pPr>
        <w:jc w:val="both"/>
        <w:outlineLvl w:val="0"/>
        <w:rPr>
          <w:rFonts w:ascii="Verdana" w:hAnsi="Verdana"/>
          <w:sz w:val="22"/>
          <w:szCs w:val="22"/>
        </w:rPr>
      </w:pPr>
      <w:r w:rsidRPr="000914C0">
        <w:rPr>
          <w:rFonts w:ascii="Verdana" w:hAnsi="Verdana"/>
          <w:sz w:val="22"/>
          <w:szCs w:val="22"/>
        </w:rPr>
        <w:t>Bogotá D.C.,</w:t>
      </w:r>
      <w:r w:rsidR="00635112" w:rsidRPr="000914C0">
        <w:rPr>
          <w:rFonts w:ascii="Verdana" w:hAnsi="Verdana"/>
          <w:sz w:val="22"/>
          <w:szCs w:val="22"/>
        </w:rPr>
        <w:t xml:space="preserve"> noviembre de</w:t>
      </w:r>
      <w:r w:rsidR="008D18A8" w:rsidRPr="000914C0">
        <w:rPr>
          <w:rFonts w:ascii="Verdana" w:hAnsi="Verdana"/>
          <w:sz w:val="22"/>
          <w:szCs w:val="22"/>
        </w:rPr>
        <w:t xml:space="preserve"> 2018</w:t>
      </w:r>
    </w:p>
    <w:p w14:paraId="23EB8860" w14:textId="44C8AA66" w:rsidR="008D18A8" w:rsidRPr="000914C0" w:rsidRDefault="008D18A8" w:rsidP="008D18A8">
      <w:pPr>
        <w:jc w:val="both"/>
        <w:rPr>
          <w:rFonts w:ascii="Verdana" w:hAnsi="Verdana"/>
          <w:sz w:val="22"/>
          <w:szCs w:val="22"/>
        </w:rPr>
      </w:pPr>
    </w:p>
    <w:p w14:paraId="613DD502" w14:textId="77777777" w:rsidR="00635112" w:rsidRPr="000914C0" w:rsidRDefault="00635112" w:rsidP="008D18A8">
      <w:pPr>
        <w:jc w:val="both"/>
        <w:rPr>
          <w:rFonts w:ascii="Verdana" w:hAnsi="Verdana"/>
          <w:sz w:val="22"/>
          <w:szCs w:val="22"/>
        </w:rPr>
      </w:pPr>
    </w:p>
    <w:p w14:paraId="1DDB90A3" w14:textId="77777777" w:rsidR="008D18A8" w:rsidRPr="000914C0" w:rsidRDefault="008D18A8" w:rsidP="008D18A8">
      <w:pPr>
        <w:jc w:val="both"/>
        <w:rPr>
          <w:rFonts w:ascii="Verdana" w:hAnsi="Verdana"/>
          <w:sz w:val="22"/>
          <w:szCs w:val="22"/>
        </w:rPr>
      </w:pPr>
    </w:p>
    <w:p w14:paraId="0B4874D1" w14:textId="77777777" w:rsidR="008D18A8" w:rsidRPr="000914C0" w:rsidRDefault="008D18A8" w:rsidP="008D18A8">
      <w:pPr>
        <w:jc w:val="both"/>
        <w:outlineLvl w:val="0"/>
        <w:rPr>
          <w:rFonts w:ascii="Verdana" w:hAnsi="Verdana"/>
          <w:sz w:val="22"/>
          <w:szCs w:val="22"/>
        </w:rPr>
      </w:pPr>
      <w:r w:rsidRPr="000914C0">
        <w:rPr>
          <w:rFonts w:ascii="Verdana" w:hAnsi="Verdana"/>
          <w:sz w:val="22"/>
          <w:szCs w:val="22"/>
        </w:rPr>
        <w:t>Señor</w:t>
      </w:r>
    </w:p>
    <w:p w14:paraId="75B620DB" w14:textId="13F1B625" w:rsidR="008D18A8" w:rsidRDefault="008D18A8" w:rsidP="008D18A8">
      <w:pPr>
        <w:jc w:val="both"/>
        <w:rPr>
          <w:rFonts w:ascii="Verdana" w:hAnsi="Verdana"/>
          <w:sz w:val="22"/>
          <w:szCs w:val="22"/>
        </w:rPr>
      </w:pPr>
    </w:p>
    <w:p w14:paraId="3AE55B0B" w14:textId="77777777" w:rsidR="00517A16" w:rsidRPr="000914C0" w:rsidRDefault="00517A16" w:rsidP="008D18A8">
      <w:pPr>
        <w:jc w:val="both"/>
        <w:rPr>
          <w:rFonts w:ascii="Verdana" w:hAnsi="Verdana"/>
          <w:sz w:val="22"/>
          <w:szCs w:val="22"/>
        </w:rPr>
      </w:pPr>
    </w:p>
    <w:p w14:paraId="09E9F237" w14:textId="2D26088C" w:rsidR="008D18A8" w:rsidRPr="000914C0" w:rsidRDefault="008D18A8" w:rsidP="008D18A8">
      <w:pPr>
        <w:jc w:val="both"/>
        <w:outlineLvl w:val="0"/>
        <w:rPr>
          <w:rFonts w:ascii="Verdana" w:hAnsi="Verdana"/>
          <w:b/>
          <w:sz w:val="22"/>
          <w:szCs w:val="22"/>
        </w:rPr>
      </w:pPr>
      <w:r w:rsidRPr="000914C0">
        <w:rPr>
          <w:rFonts w:ascii="Verdana" w:hAnsi="Verdana"/>
          <w:b/>
          <w:sz w:val="22"/>
          <w:szCs w:val="22"/>
        </w:rPr>
        <w:t>SAMUEL ALEJANDRO HOYOS MEJÍA</w:t>
      </w:r>
    </w:p>
    <w:p w14:paraId="6EFDCB7E" w14:textId="77777777" w:rsidR="008D18A8" w:rsidRPr="000914C0" w:rsidRDefault="008D18A8" w:rsidP="008D18A8">
      <w:pPr>
        <w:jc w:val="both"/>
        <w:outlineLvl w:val="0"/>
        <w:rPr>
          <w:rFonts w:ascii="Verdana" w:hAnsi="Verdana"/>
          <w:b/>
          <w:sz w:val="22"/>
          <w:szCs w:val="22"/>
        </w:rPr>
      </w:pPr>
      <w:r w:rsidRPr="000914C0">
        <w:rPr>
          <w:rFonts w:ascii="Verdana" w:hAnsi="Verdana"/>
          <w:b/>
          <w:sz w:val="22"/>
          <w:szCs w:val="22"/>
        </w:rPr>
        <w:t>Presidente</w:t>
      </w:r>
    </w:p>
    <w:p w14:paraId="73891190" w14:textId="2722BC1A" w:rsidR="008D18A8" w:rsidRPr="000914C0" w:rsidRDefault="008D18A8" w:rsidP="008D18A8">
      <w:pPr>
        <w:jc w:val="both"/>
        <w:outlineLvl w:val="0"/>
        <w:rPr>
          <w:rFonts w:ascii="Verdana" w:hAnsi="Verdana"/>
          <w:sz w:val="22"/>
          <w:szCs w:val="22"/>
        </w:rPr>
      </w:pPr>
      <w:r w:rsidRPr="000914C0">
        <w:rPr>
          <w:rFonts w:ascii="Verdana" w:hAnsi="Verdana"/>
          <w:sz w:val="22"/>
          <w:szCs w:val="22"/>
        </w:rPr>
        <w:t>Comisión Primera Constitucional Permanente</w:t>
      </w:r>
    </w:p>
    <w:p w14:paraId="38D6B340" w14:textId="756F2AC4" w:rsidR="00635112" w:rsidRPr="000914C0" w:rsidRDefault="008D18A8" w:rsidP="00635112">
      <w:pPr>
        <w:jc w:val="both"/>
        <w:outlineLvl w:val="0"/>
        <w:rPr>
          <w:rFonts w:ascii="Verdana" w:hAnsi="Verdana"/>
          <w:sz w:val="22"/>
          <w:szCs w:val="22"/>
        </w:rPr>
      </w:pPr>
      <w:r w:rsidRPr="000914C0">
        <w:rPr>
          <w:rFonts w:ascii="Verdana" w:hAnsi="Verdana"/>
          <w:sz w:val="22"/>
          <w:szCs w:val="22"/>
        </w:rPr>
        <w:t>Cámara de Representantes</w:t>
      </w:r>
    </w:p>
    <w:p w14:paraId="05A0F50E" w14:textId="58B4C3AE" w:rsidR="008D18A8" w:rsidRPr="000914C0" w:rsidRDefault="008D18A8" w:rsidP="008D18A8">
      <w:pPr>
        <w:jc w:val="both"/>
        <w:rPr>
          <w:rFonts w:ascii="Verdana" w:hAnsi="Verdana"/>
          <w:b/>
          <w:sz w:val="22"/>
          <w:szCs w:val="22"/>
        </w:rPr>
      </w:pPr>
    </w:p>
    <w:p w14:paraId="29C3C6F9" w14:textId="77777777" w:rsidR="00C57AE1" w:rsidRPr="000914C0" w:rsidRDefault="00C57AE1" w:rsidP="008D18A8">
      <w:pPr>
        <w:jc w:val="both"/>
        <w:rPr>
          <w:rFonts w:ascii="Verdana" w:hAnsi="Verdana"/>
          <w:b/>
          <w:sz w:val="22"/>
          <w:szCs w:val="22"/>
        </w:rPr>
      </w:pPr>
    </w:p>
    <w:p w14:paraId="1981E956" w14:textId="27E13E44" w:rsidR="00635112" w:rsidRPr="000914C0" w:rsidRDefault="008D18A8" w:rsidP="00635112">
      <w:pPr>
        <w:autoSpaceDE w:val="0"/>
        <w:autoSpaceDN w:val="0"/>
        <w:adjustRightInd w:val="0"/>
        <w:jc w:val="both"/>
        <w:rPr>
          <w:rFonts w:ascii="Verdana" w:hAnsi="Verdana" w:cs="P˝ˇ ˛"/>
          <w:b/>
          <w:color w:val="000000" w:themeColor="text1"/>
          <w:sz w:val="22"/>
          <w:szCs w:val="22"/>
        </w:rPr>
      </w:pPr>
      <w:r w:rsidRPr="000914C0">
        <w:rPr>
          <w:rFonts w:ascii="Verdana" w:hAnsi="Verdana"/>
          <w:b/>
          <w:sz w:val="22"/>
          <w:szCs w:val="22"/>
        </w:rPr>
        <w:t>Asunto:</w:t>
      </w:r>
      <w:r w:rsidRPr="000914C0">
        <w:rPr>
          <w:rFonts w:ascii="Verdana" w:hAnsi="Verdana"/>
          <w:sz w:val="22"/>
          <w:szCs w:val="22"/>
        </w:rPr>
        <w:t xml:space="preserve"> Informe de ponencia negativa para el </w:t>
      </w:r>
      <w:r w:rsidRPr="000914C0">
        <w:rPr>
          <w:rFonts w:ascii="Verdana" w:hAnsi="Verdana"/>
          <w:b/>
          <w:sz w:val="22"/>
          <w:szCs w:val="22"/>
        </w:rPr>
        <w:t>Proy</w:t>
      </w:r>
      <w:r w:rsidR="00B9622F" w:rsidRPr="000914C0">
        <w:rPr>
          <w:rFonts w:ascii="Verdana" w:hAnsi="Verdana"/>
          <w:b/>
          <w:sz w:val="22"/>
          <w:szCs w:val="22"/>
        </w:rPr>
        <w:t>ecto</w:t>
      </w:r>
      <w:r w:rsidR="00635112" w:rsidRPr="000914C0">
        <w:rPr>
          <w:rFonts w:ascii="Verdana" w:hAnsi="Verdana" w:cs="P˝ˇ ˛"/>
          <w:b/>
          <w:color w:val="000000" w:themeColor="text1"/>
          <w:sz w:val="22"/>
          <w:szCs w:val="22"/>
        </w:rPr>
        <w:t xml:space="preserve"> de Ley No. 029 de 2018 Cámara “Por medio de la cual se crea el Plan Nacional de Desarme Blanco Ciudadano”</w:t>
      </w:r>
    </w:p>
    <w:p w14:paraId="5C14D138" w14:textId="6975C607" w:rsidR="008D18A8" w:rsidRPr="000914C0" w:rsidRDefault="008D18A8" w:rsidP="008D18A8">
      <w:pPr>
        <w:jc w:val="both"/>
        <w:rPr>
          <w:rFonts w:ascii="Verdana" w:hAnsi="Verdana"/>
          <w:sz w:val="22"/>
          <w:szCs w:val="22"/>
        </w:rPr>
      </w:pPr>
    </w:p>
    <w:p w14:paraId="663AFA12" w14:textId="747CCF1E" w:rsidR="00635112" w:rsidRDefault="00635112" w:rsidP="008D18A8">
      <w:pPr>
        <w:jc w:val="both"/>
        <w:rPr>
          <w:rFonts w:ascii="Verdana" w:hAnsi="Verdana"/>
          <w:sz w:val="22"/>
          <w:szCs w:val="22"/>
        </w:rPr>
      </w:pPr>
    </w:p>
    <w:p w14:paraId="7322AF53" w14:textId="77777777" w:rsidR="00517A16" w:rsidRPr="000914C0" w:rsidRDefault="00517A16" w:rsidP="008D18A8">
      <w:pPr>
        <w:jc w:val="both"/>
        <w:rPr>
          <w:rFonts w:ascii="Verdana" w:hAnsi="Verdana"/>
          <w:sz w:val="22"/>
          <w:szCs w:val="22"/>
        </w:rPr>
      </w:pPr>
    </w:p>
    <w:p w14:paraId="1449B6D3" w14:textId="77777777" w:rsidR="00635112" w:rsidRPr="000914C0" w:rsidRDefault="00635112" w:rsidP="008D18A8">
      <w:pPr>
        <w:jc w:val="both"/>
        <w:rPr>
          <w:rFonts w:ascii="Verdana" w:hAnsi="Verdana"/>
          <w:sz w:val="22"/>
          <w:szCs w:val="22"/>
        </w:rPr>
      </w:pPr>
    </w:p>
    <w:p w14:paraId="25AB2D6F" w14:textId="77777777" w:rsidR="008D18A8" w:rsidRPr="000914C0" w:rsidRDefault="008D18A8" w:rsidP="008D18A8">
      <w:pPr>
        <w:jc w:val="both"/>
        <w:rPr>
          <w:rFonts w:ascii="Verdana" w:hAnsi="Verdana"/>
          <w:sz w:val="22"/>
          <w:szCs w:val="22"/>
        </w:rPr>
      </w:pPr>
      <w:r w:rsidRPr="000914C0">
        <w:rPr>
          <w:rFonts w:ascii="Verdana" w:hAnsi="Verdana"/>
          <w:sz w:val="22"/>
          <w:szCs w:val="22"/>
        </w:rPr>
        <w:t>Respetado Presidente,</w:t>
      </w:r>
    </w:p>
    <w:p w14:paraId="32FAB7DE" w14:textId="0BE29848" w:rsidR="008D18A8" w:rsidRDefault="008D18A8" w:rsidP="008D18A8">
      <w:pPr>
        <w:jc w:val="both"/>
        <w:rPr>
          <w:rFonts w:ascii="Verdana" w:hAnsi="Verdana"/>
          <w:sz w:val="22"/>
          <w:szCs w:val="22"/>
        </w:rPr>
      </w:pPr>
    </w:p>
    <w:p w14:paraId="0EF8A91F" w14:textId="77777777" w:rsidR="00517A16" w:rsidRPr="000914C0" w:rsidRDefault="00517A16" w:rsidP="008D18A8">
      <w:pPr>
        <w:jc w:val="both"/>
        <w:rPr>
          <w:rFonts w:ascii="Verdana" w:hAnsi="Verdana"/>
          <w:sz w:val="22"/>
          <w:szCs w:val="22"/>
        </w:rPr>
      </w:pPr>
    </w:p>
    <w:p w14:paraId="4299B276" w14:textId="6C5A207E" w:rsidR="00635112" w:rsidRPr="000914C0" w:rsidRDefault="008D18A8" w:rsidP="00635112">
      <w:pPr>
        <w:autoSpaceDE w:val="0"/>
        <w:autoSpaceDN w:val="0"/>
        <w:adjustRightInd w:val="0"/>
        <w:jc w:val="both"/>
        <w:rPr>
          <w:rFonts w:ascii="Verdana" w:hAnsi="Verdana" w:cs="P˝ˇ ˛"/>
          <w:b/>
          <w:color w:val="000000" w:themeColor="text1"/>
          <w:sz w:val="22"/>
          <w:szCs w:val="22"/>
        </w:rPr>
      </w:pPr>
      <w:r w:rsidRPr="000914C0">
        <w:rPr>
          <w:rFonts w:ascii="Verdana" w:hAnsi="Verdana"/>
          <w:sz w:val="22"/>
          <w:szCs w:val="22"/>
        </w:rPr>
        <w:t>Atendiendo la designación de la Mesa Directiva de la Comisión Primera de la Cámara de Representantes y conforme a lo dispuesto en la Constitución</w:t>
      </w:r>
      <w:r w:rsidR="00B9622F" w:rsidRPr="000914C0">
        <w:rPr>
          <w:rFonts w:ascii="Verdana" w:hAnsi="Verdana"/>
          <w:sz w:val="22"/>
          <w:szCs w:val="22"/>
        </w:rPr>
        <w:t xml:space="preserve"> y en la Ley 5 de 1992, presentamos</w:t>
      </w:r>
      <w:r w:rsidRPr="000914C0">
        <w:rPr>
          <w:rFonts w:ascii="Verdana" w:hAnsi="Verdana"/>
          <w:sz w:val="22"/>
          <w:szCs w:val="22"/>
        </w:rPr>
        <w:t xml:space="preserve"> a consideración de los Honorables Representantes el informe de ponencia negativa </w:t>
      </w:r>
      <w:r w:rsidR="004475A8">
        <w:rPr>
          <w:rFonts w:ascii="Verdana" w:hAnsi="Verdana"/>
          <w:sz w:val="22"/>
          <w:szCs w:val="22"/>
        </w:rPr>
        <w:t xml:space="preserve">para primer </w:t>
      </w:r>
      <w:r w:rsidR="006640A7" w:rsidRPr="000914C0">
        <w:rPr>
          <w:rFonts w:ascii="Verdana" w:hAnsi="Verdana"/>
          <w:sz w:val="22"/>
          <w:szCs w:val="22"/>
        </w:rPr>
        <w:t xml:space="preserve">debate </w:t>
      </w:r>
      <w:r w:rsidRPr="000914C0">
        <w:rPr>
          <w:rFonts w:ascii="Verdana" w:hAnsi="Verdana"/>
          <w:sz w:val="22"/>
          <w:szCs w:val="22"/>
        </w:rPr>
        <w:t xml:space="preserve">del </w:t>
      </w:r>
      <w:r w:rsidR="00635112" w:rsidRPr="000914C0">
        <w:rPr>
          <w:rFonts w:ascii="Verdana" w:hAnsi="Verdana"/>
          <w:sz w:val="22"/>
          <w:szCs w:val="22"/>
        </w:rPr>
        <w:t>Proyecto</w:t>
      </w:r>
      <w:r w:rsidR="00635112" w:rsidRPr="000914C0">
        <w:rPr>
          <w:rFonts w:ascii="Verdana" w:hAnsi="Verdana" w:cs="P˝ˇ ˛"/>
          <w:b/>
          <w:color w:val="000000" w:themeColor="text1"/>
          <w:sz w:val="22"/>
          <w:szCs w:val="22"/>
        </w:rPr>
        <w:t xml:space="preserve"> de Ley No. 029 de 2018 Cámara “Por medio de la cual se crea el Plan Nacional de Desarme Blanco Ciudadano”</w:t>
      </w:r>
    </w:p>
    <w:p w14:paraId="1D60412B" w14:textId="77777777" w:rsidR="00635112" w:rsidRPr="000914C0" w:rsidRDefault="00635112" w:rsidP="00635112">
      <w:pPr>
        <w:jc w:val="both"/>
        <w:rPr>
          <w:rFonts w:ascii="Verdana" w:hAnsi="Verdana"/>
          <w:sz w:val="22"/>
          <w:szCs w:val="22"/>
        </w:rPr>
      </w:pPr>
    </w:p>
    <w:p w14:paraId="7AF03199" w14:textId="351C7A60" w:rsidR="008D18A8" w:rsidRPr="000914C0" w:rsidRDefault="008D18A8" w:rsidP="008D18A8">
      <w:pPr>
        <w:jc w:val="both"/>
        <w:rPr>
          <w:rFonts w:ascii="Verdana" w:hAnsi="Verdana"/>
          <w:sz w:val="22"/>
          <w:szCs w:val="22"/>
        </w:rPr>
      </w:pPr>
    </w:p>
    <w:p w14:paraId="208F9516" w14:textId="3F572929" w:rsidR="00635112" w:rsidRPr="000914C0" w:rsidRDefault="00635112" w:rsidP="008D18A8">
      <w:pPr>
        <w:jc w:val="both"/>
        <w:rPr>
          <w:rFonts w:ascii="Verdana" w:hAnsi="Verdana"/>
          <w:sz w:val="22"/>
          <w:szCs w:val="22"/>
        </w:rPr>
      </w:pPr>
    </w:p>
    <w:p w14:paraId="1BEDC6B8" w14:textId="0D38ABA8" w:rsidR="008D18A8" w:rsidRDefault="008D18A8" w:rsidP="008D18A8">
      <w:pPr>
        <w:jc w:val="both"/>
        <w:rPr>
          <w:rFonts w:ascii="Verdana" w:hAnsi="Verdana"/>
          <w:sz w:val="22"/>
          <w:szCs w:val="22"/>
        </w:rPr>
      </w:pPr>
    </w:p>
    <w:p w14:paraId="521E0F04" w14:textId="6632F520" w:rsidR="00517A16" w:rsidRDefault="00517A16" w:rsidP="008D18A8">
      <w:pPr>
        <w:jc w:val="both"/>
        <w:rPr>
          <w:rFonts w:ascii="Verdana" w:hAnsi="Verdana"/>
          <w:sz w:val="22"/>
          <w:szCs w:val="22"/>
        </w:rPr>
      </w:pPr>
    </w:p>
    <w:p w14:paraId="4BF2C350" w14:textId="3B3BA31D" w:rsidR="00517A16" w:rsidRDefault="00517A16" w:rsidP="008D18A8">
      <w:pPr>
        <w:jc w:val="both"/>
        <w:rPr>
          <w:rFonts w:ascii="Verdana" w:hAnsi="Verdana"/>
          <w:sz w:val="22"/>
          <w:szCs w:val="22"/>
        </w:rPr>
      </w:pPr>
    </w:p>
    <w:p w14:paraId="79ED5B36" w14:textId="21D111FE" w:rsidR="00517A16" w:rsidRDefault="00517A16" w:rsidP="008D18A8">
      <w:pPr>
        <w:jc w:val="both"/>
        <w:rPr>
          <w:rFonts w:ascii="Verdana" w:hAnsi="Verdana"/>
          <w:sz w:val="22"/>
          <w:szCs w:val="22"/>
        </w:rPr>
      </w:pPr>
    </w:p>
    <w:p w14:paraId="6CABFBFC" w14:textId="1CEEF407" w:rsidR="00517A16" w:rsidRDefault="00517A16" w:rsidP="008D18A8">
      <w:pPr>
        <w:jc w:val="both"/>
        <w:rPr>
          <w:rFonts w:ascii="Verdana" w:hAnsi="Verdana"/>
          <w:sz w:val="22"/>
          <w:szCs w:val="22"/>
        </w:rPr>
      </w:pPr>
    </w:p>
    <w:p w14:paraId="16145F3A" w14:textId="2695EDC4" w:rsidR="00517A16" w:rsidRDefault="00517A16" w:rsidP="008D18A8">
      <w:pPr>
        <w:jc w:val="both"/>
        <w:rPr>
          <w:rFonts w:ascii="Verdana" w:hAnsi="Verdana"/>
          <w:sz w:val="22"/>
          <w:szCs w:val="22"/>
        </w:rPr>
      </w:pPr>
    </w:p>
    <w:p w14:paraId="60CF4CCC" w14:textId="0BC20AB9" w:rsidR="00517A16" w:rsidRDefault="00517A16" w:rsidP="008D18A8">
      <w:pPr>
        <w:jc w:val="both"/>
        <w:rPr>
          <w:rFonts w:ascii="Verdana" w:hAnsi="Verdana"/>
          <w:sz w:val="22"/>
          <w:szCs w:val="22"/>
        </w:rPr>
      </w:pPr>
    </w:p>
    <w:p w14:paraId="2E22222A" w14:textId="6E857F9E" w:rsidR="00517A16" w:rsidRDefault="00517A16" w:rsidP="008D18A8">
      <w:pPr>
        <w:jc w:val="both"/>
        <w:rPr>
          <w:rFonts w:ascii="Verdana" w:hAnsi="Verdana"/>
          <w:sz w:val="22"/>
          <w:szCs w:val="22"/>
        </w:rPr>
      </w:pPr>
    </w:p>
    <w:p w14:paraId="127DD2DA" w14:textId="000EB1D1" w:rsidR="00517A16" w:rsidRDefault="00517A16" w:rsidP="008D18A8">
      <w:pPr>
        <w:jc w:val="both"/>
        <w:rPr>
          <w:rFonts w:ascii="Verdana" w:hAnsi="Verdana"/>
          <w:sz w:val="22"/>
          <w:szCs w:val="22"/>
        </w:rPr>
      </w:pPr>
    </w:p>
    <w:p w14:paraId="4EC85061" w14:textId="75C06E94" w:rsidR="00517A16" w:rsidRDefault="00517A16" w:rsidP="008D18A8">
      <w:pPr>
        <w:jc w:val="both"/>
        <w:rPr>
          <w:rFonts w:ascii="Verdana" w:hAnsi="Verdana"/>
          <w:sz w:val="22"/>
          <w:szCs w:val="22"/>
        </w:rPr>
      </w:pPr>
    </w:p>
    <w:p w14:paraId="0A0765CC" w14:textId="4CCE0726" w:rsidR="00635112" w:rsidRPr="000914C0" w:rsidRDefault="00635112" w:rsidP="008D18A8">
      <w:pPr>
        <w:jc w:val="both"/>
        <w:outlineLvl w:val="0"/>
        <w:rPr>
          <w:rFonts w:ascii="Verdana" w:hAnsi="Verdana"/>
          <w:b/>
          <w:sz w:val="22"/>
          <w:szCs w:val="22"/>
        </w:rPr>
      </w:pPr>
    </w:p>
    <w:p w14:paraId="74015524" w14:textId="70605629" w:rsidR="000914C0" w:rsidRPr="000914C0" w:rsidRDefault="000914C0" w:rsidP="00635112">
      <w:pPr>
        <w:autoSpaceDE w:val="0"/>
        <w:autoSpaceDN w:val="0"/>
        <w:adjustRightInd w:val="0"/>
        <w:jc w:val="both"/>
        <w:rPr>
          <w:rFonts w:ascii="Verdana" w:hAnsi="Verdana"/>
          <w:b/>
          <w:sz w:val="22"/>
          <w:szCs w:val="22"/>
        </w:rPr>
      </w:pPr>
    </w:p>
    <w:p w14:paraId="0F208A99" w14:textId="4924FAB0" w:rsidR="00635112" w:rsidRPr="000914C0" w:rsidRDefault="00635112" w:rsidP="00635112">
      <w:pPr>
        <w:autoSpaceDE w:val="0"/>
        <w:autoSpaceDN w:val="0"/>
        <w:adjustRightInd w:val="0"/>
        <w:jc w:val="both"/>
        <w:rPr>
          <w:rFonts w:ascii="Verdana" w:hAnsi="Verdana" w:cs="P˝ˇ ˛"/>
          <w:b/>
          <w:color w:val="000000" w:themeColor="text1"/>
          <w:sz w:val="22"/>
          <w:szCs w:val="22"/>
        </w:rPr>
      </w:pPr>
      <w:r w:rsidRPr="000914C0">
        <w:rPr>
          <w:rFonts w:ascii="Verdana" w:hAnsi="Verdana"/>
          <w:b/>
          <w:sz w:val="22"/>
          <w:szCs w:val="22"/>
        </w:rPr>
        <w:t>INFORME DE PONENCIA NEGATIVA PARA PRIMER DEBATE DEL PROYECTO DEL PROYECTO</w:t>
      </w:r>
      <w:r w:rsidRPr="000914C0">
        <w:rPr>
          <w:rFonts w:ascii="Verdana" w:hAnsi="Verdana" w:cs="P˝ˇ ˛"/>
          <w:b/>
          <w:color w:val="000000" w:themeColor="text1"/>
          <w:sz w:val="22"/>
          <w:szCs w:val="22"/>
        </w:rPr>
        <w:t xml:space="preserve"> DE LEY NO. 029 DE 2018 CÁMARA “POR MEDIO DE LA CUAL SE CREA EL PLAN NACIONAL DE DESARME BLANCO CIUDADANO”</w:t>
      </w:r>
    </w:p>
    <w:p w14:paraId="766783AA" w14:textId="33121AF6" w:rsidR="000914C0" w:rsidRPr="000914C0" w:rsidRDefault="000914C0" w:rsidP="006640A7">
      <w:pPr>
        <w:jc w:val="both"/>
        <w:rPr>
          <w:rFonts w:ascii="Verdana" w:hAnsi="Verdana"/>
          <w:sz w:val="22"/>
          <w:szCs w:val="22"/>
          <w:lang w:val="es-CO"/>
        </w:rPr>
      </w:pPr>
    </w:p>
    <w:p w14:paraId="58A12742" w14:textId="77777777" w:rsidR="000914C0" w:rsidRPr="000914C0" w:rsidRDefault="000914C0" w:rsidP="006640A7">
      <w:pPr>
        <w:jc w:val="both"/>
        <w:rPr>
          <w:rFonts w:ascii="Verdana" w:hAnsi="Verdana"/>
          <w:b/>
          <w:sz w:val="22"/>
          <w:szCs w:val="22"/>
        </w:rPr>
      </w:pPr>
    </w:p>
    <w:p w14:paraId="2E9F5BEC" w14:textId="77777777" w:rsidR="006640A7" w:rsidRPr="000914C0" w:rsidRDefault="006640A7" w:rsidP="006640A7">
      <w:pPr>
        <w:jc w:val="both"/>
        <w:rPr>
          <w:rFonts w:ascii="Verdana" w:hAnsi="Verdana"/>
          <w:b/>
          <w:sz w:val="22"/>
          <w:szCs w:val="22"/>
        </w:rPr>
      </w:pPr>
      <w:r w:rsidRPr="000914C0">
        <w:rPr>
          <w:rFonts w:ascii="Verdana" w:hAnsi="Verdana"/>
          <w:b/>
          <w:sz w:val="22"/>
          <w:szCs w:val="22"/>
        </w:rPr>
        <w:t>I. TRÁMITE DE LA INICIATIVA</w:t>
      </w:r>
    </w:p>
    <w:p w14:paraId="329640BB" w14:textId="15EE02B4" w:rsidR="006640A7" w:rsidRPr="000914C0" w:rsidRDefault="006640A7" w:rsidP="006640A7">
      <w:pPr>
        <w:jc w:val="both"/>
        <w:rPr>
          <w:rFonts w:ascii="Verdana" w:hAnsi="Verdana"/>
          <w:sz w:val="22"/>
          <w:szCs w:val="22"/>
        </w:rPr>
      </w:pPr>
    </w:p>
    <w:p w14:paraId="66EA6764" w14:textId="77777777" w:rsidR="000914C0" w:rsidRPr="000914C0" w:rsidRDefault="000914C0" w:rsidP="006640A7">
      <w:pPr>
        <w:jc w:val="both"/>
        <w:rPr>
          <w:rFonts w:ascii="Verdana" w:hAnsi="Verdana"/>
          <w:sz w:val="22"/>
          <w:szCs w:val="22"/>
        </w:rPr>
      </w:pPr>
    </w:p>
    <w:p w14:paraId="5EC8A54E" w14:textId="261F32D6" w:rsidR="00635112" w:rsidRPr="000914C0" w:rsidRDefault="000914C0" w:rsidP="00635112">
      <w:pPr>
        <w:jc w:val="both"/>
        <w:rPr>
          <w:rFonts w:ascii="Verdana" w:hAnsi="Verdana"/>
          <w:sz w:val="22"/>
          <w:szCs w:val="22"/>
        </w:rPr>
      </w:pPr>
      <w:r w:rsidRPr="000914C0">
        <w:rPr>
          <w:rFonts w:ascii="Verdana" w:hAnsi="Verdana"/>
          <w:sz w:val="22"/>
          <w:szCs w:val="22"/>
        </w:rPr>
        <w:t>E</w:t>
      </w:r>
      <w:r w:rsidR="00635112" w:rsidRPr="000914C0">
        <w:rPr>
          <w:rFonts w:ascii="Verdana" w:hAnsi="Verdana"/>
          <w:sz w:val="22"/>
          <w:szCs w:val="22"/>
        </w:rPr>
        <w:t xml:space="preserve">l día 20 de </w:t>
      </w:r>
      <w:r w:rsidRPr="000914C0">
        <w:rPr>
          <w:rFonts w:ascii="Verdana" w:hAnsi="Verdana"/>
          <w:sz w:val="22"/>
          <w:szCs w:val="22"/>
        </w:rPr>
        <w:t>julio del</w:t>
      </w:r>
      <w:r w:rsidR="00635112" w:rsidRPr="000914C0">
        <w:rPr>
          <w:rFonts w:ascii="Verdana" w:hAnsi="Verdana"/>
          <w:sz w:val="22"/>
          <w:szCs w:val="22"/>
        </w:rPr>
        <w:t xml:space="preserve"> </w:t>
      </w:r>
      <w:r w:rsidRPr="000914C0">
        <w:rPr>
          <w:rFonts w:ascii="Verdana" w:hAnsi="Verdana"/>
          <w:sz w:val="22"/>
          <w:szCs w:val="22"/>
        </w:rPr>
        <w:t>presente año</w:t>
      </w:r>
      <w:r w:rsidR="00635112" w:rsidRPr="000914C0">
        <w:rPr>
          <w:rFonts w:ascii="Verdana" w:hAnsi="Verdana"/>
          <w:sz w:val="22"/>
          <w:szCs w:val="22"/>
        </w:rPr>
        <w:t xml:space="preserve"> </w:t>
      </w:r>
      <w:r w:rsidR="006640A7" w:rsidRPr="000914C0">
        <w:rPr>
          <w:rFonts w:ascii="Verdana" w:hAnsi="Verdana"/>
          <w:sz w:val="22"/>
          <w:szCs w:val="22"/>
        </w:rPr>
        <w:t xml:space="preserve">se radicó el Proyecto de </w:t>
      </w:r>
      <w:r w:rsidR="00635112" w:rsidRPr="000914C0">
        <w:rPr>
          <w:rFonts w:ascii="Verdana" w:hAnsi="Verdana"/>
          <w:sz w:val="22"/>
          <w:szCs w:val="22"/>
        </w:rPr>
        <w:t xml:space="preserve">Ley 029 de 2018 Cámara, ante la Secretaría General de la Cámara de Representantes del cual es autor el Honorable Representante Buenaventura León </w:t>
      </w:r>
      <w:proofErr w:type="spellStart"/>
      <w:r w:rsidR="00635112" w:rsidRPr="000914C0">
        <w:rPr>
          <w:rFonts w:ascii="Verdana" w:hAnsi="Verdana"/>
          <w:sz w:val="22"/>
          <w:szCs w:val="22"/>
        </w:rPr>
        <w:t>León</w:t>
      </w:r>
      <w:proofErr w:type="spellEnd"/>
      <w:r w:rsidR="00635112" w:rsidRPr="000914C0">
        <w:rPr>
          <w:rFonts w:ascii="Verdana" w:hAnsi="Verdana"/>
          <w:sz w:val="22"/>
          <w:szCs w:val="22"/>
        </w:rPr>
        <w:t xml:space="preserve">. Fue publicado en la Gaceta del Congreso número 563 de 2018 y repartido a la Comisión Primera Constitucional Permanente de la Cámara. </w:t>
      </w:r>
    </w:p>
    <w:p w14:paraId="6D2539D1" w14:textId="77777777" w:rsidR="006640A7" w:rsidRPr="000914C0" w:rsidRDefault="006640A7" w:rsidP="006640A7">
      <w:pPr>
        <w:jc w:val="both"/>
        <w:rPr>
          <w:rFonts w:ascii="Verdana" w:hAnsi="Verdana"/>
          <w:sz w:val="22"/>
          <w:szCs w:val="22"/>
        </w:rPr>
      </w:pPr>
    </w:p>
    <w:p w14:paraId="63844CC0" w14:textId="5D08DD64" w:rsidR="00635112" w:rsidRPr="000914C0" w:rsidRDefault="006640A7" w:rsidP="00635112">
      <w:pPr>
        <w:jc w:val="both"/>
        <w:rPr>
          <w:rFonts w:ascii="Verdana" w:hAnsi="Verdana"/>
          <w:sz w:val="22"/>
          <w:szCs w:val="22"/>
        </w:rPr>
      </w:pPr>
      <w:r w:rsidRPr="000914C0">
        <w:rPr>
          <w:rFonts w:ascii="Verdana" w:hAnsi="Verdana"/>
          <w:color w:val="000000" w:themeColor="text1"/>
          <w:sz w:val="22"/>
          <w:szCs w:val="22"/>
        </w:rPr>
        <w:t xml:space="preserve">Fueron designados por la Mesa directiva como ponentes </w:t>
      </w:r>
      <w:r w:rsidR="00635112" w:rsidRPr="000914C0">
        <w:rPr>
          <w:rFonts w:ascii="Verdana" w:hAnsi="Verdana"/>
          <w:sz w:val="22"/>
          <w:szCs w:val="22"/>
        </w:rPr>
        <w:t>los Representantes a la Cámara H. R. </w:t>
      </w:r>
      <w:hyperlink r:id="rId8" w:tgtFrame="_blank" w:history="1">
        <w:r w:rsidR="00635112" w:rsidRPr="000914C0">
          <w:rPr>
            <w:rFonts w:ascii="Verdana" w:hAnsi="Verdana"/>
            <w:sz w:val="22"/>
            <w:szCs w:val="22"/>
          </w:rPr>
          <w:t xml:space="preserve">Juan Carlos </w:t>
        </w:r>
        <w:proofErr w:type="spellStart"/>
        <w:r w:rsidR="00635112" w:rsidRPr="000914C0">
          <w:rPr>
            <w:rFonts w:ascii="Verdana" w:hAnsi="Verdana"/>
            <w:sz w:val="22"/>
            <w:szCs w:val="22"/>
          </w:rPr>
          <w:t>Wills</w:t>
        </w:r>
        <w:proofErr w:type="spellEnd"/>
        <w:r w:rsidR="00635112" w:rsidRPr="000914C0">
          <w:rPr>
            <w:rFonts w:ascii="Verdana" w:hAnsi="Verdana"/>
            <w:sz w:val="22"/>
            <w:szCs w:val="22"/>
          </w:rPr>
          <w:t xml:space="preserve"> Ospina</w:t>
        </w:r>
      </w:hyperlink>
      <w:r w:rsidR="00635112" w:rsidRPr="000914C0">
        <w:rPr>
          <w:rFonts w:ascii="Verdana" w:hAnsi="Verdana"/>
          <w:sz w:val="22"/>
          <w:szCs w:val="22"/>
        </w:rPr>
        <w:t>, H.R. </w:t>
      </w:r>
      <w:hyperlink r:id="rId9" w:tgtFrame="_blank" w:history="1">
        <w:r w:rsidR="00635112" w:rsidRPr="000914C0">
          <w:rPr>
            <w:rFonts w:ascii="Verdana" w:hAnsi="Verdana"/>
            <w:sz w:val="22"/>
            <w:szCs w:val="22"/>
          </w:rPr>
          <w:t xml:space="preserve">Buenaventura León </w:t>
        </w:r>
        <w:proofErr w:type="spellStart"/>
        <w:r w:rsidR="00635112" w:rsidRPr="000914C0">
          <w:rPr>
            <w:rFonts w:ascii="Verdana" w:hAnsi="Verdana"/>
            <w:sz w:val="22"/>
            <w:szCs w:val="22"/>
          </w:rPr>
          <w:t>León</w:t>
        </w:r>
        <w:proofErr w:type="spellEnd"/>
      </w:hyperlink>
      <w:r w:rsidR="00635112" w:rsidRPr="000914C0">
        <w:rPr>
          <w:rFonts w:ascii="Verdana" w:hAnsi="Verdana"/>
          <w:sz w:val="22"/>
          <w:szCs w:val="22"/>
        </w:rPr>
        <w:t>, H.R. </w:t>
      </w:r>
      <w:hyperlink r:id="rId10" w:tgtFrame="_blank" w:history="1">
        <w:r w:rsidR="00635112" w:rsidRPr="000914C0">
          <w:rPr>
            <w:rFonts w:ascii="Verdana" w:hAnsi="Verdana"/>
            <w:sz w:val="22"/>
            <w:szCs w:val="22"/>
          </w:rPr>
          <w:t>Alejandro Alberto Vega Pérez</w:t>
        </w:r>
      </w:hyperlink>
      <w:r w:rsidR="00635112" w:rsidRPr="000914C0">
        <w:rPr>
          <w:rFonts w:ascii="Verdana" w:hAnsi="Verdana"/>
          <w:sz w:val="22"/>
          <w:szCs w:val="22"/>
        </w:rPr>
        <w:t>, H.R. </w:t>
      </w:r>
      <w:hyperlink r:id="rId11" w:tgtFrame="_blank" w:history="1">
        <w:r w:rsidR="00635112" w:rsidRPr="000914C0">
          <w:rPr>
            <w:rFonts w:ascii="Verdana" w:hAnsi="Verdana"/>
            <w:sz w:val="22"/>
            <w:szCs w:val="22"/>
          </w:rPr>
          <w:t xml:space="preserve">Edward David Rodríguez </w:t>
        </w:r>
        <w:proofErr w:type="spellStart"/>
        <w:r w:rsidR="00635112" w:rsidRPr="000914C0">
          <w:rPr>
            <w:rFonts w:ascii="Verdana" w:hAnsi="Verdana"/>
            <w:sz w:val="22"/>
            <w:szCs w:val="22"/>
          </w:rPr>
          <w:t>Rodríguez</w:t>
        </w:r>
        <w:proofErr w:type="spellEnd"/>
      </w:hyperlink>
      <w:r w:rsidR="00635112" w:rsidRPr="000914C0">
        <w:rPr>
          <w:rFonts w:ascii="Verdana" w:hAnsi="Verdana"/>
          <w:sz w:val="22"/>
          <w:szCs w:val="22"/>
        </w:rPr>
        <w:t>, H.R. </w:t>
      </w:r>
      <w:hyperlink r:id="rId12" w:tgtFrame="_blank" w:history="1">
        <w:r w:rsidR="00635112" w:rsidRPr="000914C0">
          <w:rPr>
            <w:rFonts w:ascii="Verdana" w:hAnsi="Verdana"/>
            <w:sz w:val="22"/>
            <w:szCs w:val="22"/>
          </w:rPr>
          <w:t>John Jairo Hoyos García</w:t>
        </w:r>
      </w:hyperlink>
      <w:r w:rsidR="00635112" w:rsidRPr="000914C0">
        <w:rPr>
          <w:rFonts w:ascii="Verdana" w:hAnsi="Verdana"/>
          <w:sz w:val="22"/>
          <w:szCs w:val="22"/>
        </w:rPr>
        <w:t>, H.R. </w:t>
      </w:r>
      <w:hyperlink r:id="rId13" w:tgtFrame="_blank" w:history="1">
        <w:r w:rsidR="00635112" w:rsidRPr="000914C0">
          <w:rPr>
            <w:rFonts w:ascii="Verdana" w:hAnsi="Verdana"/>
            <w:sz w:val="22"/>
            <w:szCs w:val="22"/>
          </w:rPr>
          <w:t>Inti Raúl Asprilla Reyes</w:t>
        </w:r>
      </w:hyperlink>
      <w:r w:rsidR="00635112" w:rsidRPr="000914C0">
        <w:rPr>
          <w:rFonts w:ascii="Verdana" w:hAnsi="Verdana"/>
          <w:sz w:val="22"/>
          <w:szCs w:val="22"/>
        </w:rPr>
        <w:t>, H.R. </w:t>
      </w:r>
      <w:hyperlink r:id="rId14" w:tgtFrame="_blank" w:history="1">
        <w:r w:rsidR="00635112" w:rsidRPr="000914C0">
          <w:rPr>
            <w:rFonts w:ascii="Verdana" w:hAnsi="Verdana"/>
            <w:sz w:val="22"/>
            <w:szCs w:val="22"/>
          </w:rPr>
          <w:t>Carlos German Navas Talero</w:t>
        </w:r>
      </w:hyperlink>
      <w:r w:rsidR="00635112" w:rsidRPr="000914C0">
        <w:rPr>
          <w:rFonts w:ascii="Verdana" w:hAnsi="Verdana"/>
          <w:sz w:val="22"/>
          <w:szCs w:val="22"/>
        </w:rPr>
        <w:t>, H.R. </w:t>
      </w:r>
      <w:hyperlink r:id="rId15" w:tgtFrame="_blank" w:history="1">
        <w:r w:rsidR="00635112" w:rsidRPr="000914C0">
          <w:rPr>
            <w:rFonts w:ascii="Verdana" w:hAnsi="Verdana"/>
            <w:sz w:val="22"/>
            <w:szCs w:val="22"/>
          </w:rPr>
          <w:t>Ángela María Robledo Gómez</w:t>
        </w:r>
      </w:hyperlink>
      <w:r w:rsidR="00635112" w:rsidRPr="000914C0">
        <w:rPr>
          <w:rFonts w:ascii="Verdana" w:hAnsi="Verdana"/>
          <w:sz w:val="22"/>
          <w:szCs w:val="22"/>
        </w:rPr>
        <w:t>, H.R. </w:t>
      </w:r>
      <w:hyperlink r:id="rId16" w:tgtFrame="_blank" w:history="1">
        <w:r w:rsidR="00635112" w:rsidRPr="000914C0">
          <w:rPr>
            <w:rFonts w:ascii="Verdana" w:hAnsi="Verdana"/>
            <w:sz w:val="22"/>
            <w:szCs w:val="22"/>
          </w:rPr>
          <w:t>Luis Alberto Albán Urbano</w:t>
        </w:r>
      </w:hyperlink>
    </w:p>
    <w:p w14:paraId="42477314" w14:textId="2A6A30B4" w:rsidR="006640A7" w:rsidRPr="000914C0" w:rsidRDefault="006640A7" w:rsidP="006640A7">
      <w:pPr>
        <w:jc w:val="both"/>
        <w:rPr>
          <w:rFonts w:ascii="Verdana" w:hAnsi="Verdana"/>
          <w:sz w:val="22"/>
          <w:szCs w:val="22"/>
        </w:rPr>
      </w:pPr>
    </w:p>
    <w:p w14:paraId="2E9A9B65" w14:textId="1484653B" w:rsidR="0045495B" w:rsidRPr="000914C0" w:rsidRDefault="0045495B" w:rsidP="0045495B">
      <w:pPr>
        <w:jc w:val="both"/>
        <w:rPr>
          <w:rFonts w:ascii="Verdana" w:hAnsi="Verdana"/>
          <w:sz w:val="22"/>
          <w:szCs w:val="22"/>
        </w:rPr>
      </w:pPr>
      <w:r w:rsidRPr="000914C0">
        <w:rPr>
          <w:rFonts w:ascii="Verdana" w:hAnsi="Verdana"/>
          <w:sz w:val="22"/>
          <w:szCs w:val="22"/>
        </w:rPr>
        <w:t>El pasado 1 de octubre de 2018, en la Comisión Primera Constitucional de la Cámara de Representantes del Congreso de la República, se llevó a cabo la AUDIENCIA PUBLICA sobre el uso de las armas blancas en el país y la creación de un Plan Nacional de Desarme Blanco. El acto contó con la participación de expertos en el tema de Seguridad, Policía Nacional, el Instituto Nacional de Medicina Legal y Ciencias Forenses, el Ministerio del Interior y La Federación Colombiana de Municipios.</w:t>
      </w:r>
    </w:p>
    <w:p w14:paraId="362C3637" w14:textId="5928B525" w:rsidR="0045495B" w:rsidRPr="000914C0" w:rsidRDefault="0045495B" w:rsidP="0045495B">
      <w:pPr>
        <w:jc w:val="both"/>
        <w:rPr>
          <w:rFonts w:ascii="Verdana" w:hAnsi="Verdana"/>
          <w:sz w:val="22"/>
          <w:szCs w:val="22"/>
        </w:rPr>
      </w:pPr>
    </w:p>
    <w:p w14:paraId="09BA2C21" w14:textId="63C2F049" w:rsidR="0045495B" w:rsidRPr="000914C0" w:rsidRDefault="0045495B" w:rsidP="0045495B">
      <w:pPr>
        <w:jc w:val="both"/>
        <w:rPr>
          <w:rFonts w:ascii="Verdana" w:hAnsi="Verdana"/>
          <w:sz w:val="22"/>
          <w:szCs w:val="22"/>
        </w:rPr>
      </w:pPr>
      <w:r w:rsidRPr="000914C0">
        <w:rPr>
          <w:rFonts w:ascii="Verdana" w:hAnsi="Verdana"/>
          <w:sz w:val="22"/>
          <w:szCs w:val="22"/>
        </w:rPr>
        <w:t xml:space="preserve">Quienes participaron de la audiencia pública dejaron claro en todas sus intervenciones </w:t>
      </w:r>
      <w:r w:rsidR="000914C0" w:rsidRPr="000914C0">
        <w:rPr>
          <w:rFonts w:ascii="Verdana" w:hAnsi="Verdana"/>
          <w:sz w:val="22"/>
          <w:szCs w:val="22"/>
        </w:rPr>
        <w:t>que,</w:t>
      </w:r>
      <w:r w:rsidRPr="000914C0">
        <w:rPr>
          <w:rFonts w:ascii="Verdana" w:hAnsi="Verdana"/>
          <w:sz w:val="22"/>
          <w:szCs w:val="22"/>
        </w:rPr>
        <w:t xml:space="preserve"> si bien es necesario el desarme ciudadano, dicho proyecto de ley en una política pública de desarme debe trascender hacia planes de educación, cultura y convivencia, haciendo énfasis en la necesidad de fortalecer el componente de prevención de violencia intrafamiliar, siendo este el contexto con el mayor número de actos por violencia con armas blancas. </w:t>
      </w:r>
    </w:p>
    <w:p w14:paraId="6070A455" w14:textId="7C33003F" w:rsidR="006640A7" w:rsidRPr="000914C0" w:rsidRDefault="006640A7" w:rsidP="006640A7">
      <w:pPr>
        <w:jc w:val="both"/>
        <w:rPr>
          <w:rFonts w:ascii="Verdana" w:hAnsi="Verdana"/>
          <w:sz w:val="22"/>
          <w:szCs w:val="22"/>
        </w:rPr>
      </w:pPr>
    </w:p>
    <w:p w14:paraId="4B9D7BE1" w14:textId="498D436A" w:rsidR="000914C0" w:rsidRPr="000914C0" w:rsidRDefault="000914C0" w:rsidP="006640A7">
      <w:pPr>
        <w:jc w:val="both"/>
        <w:rPr>
          <w:rFonts w:ascii="Verdana" w:hAnsi="Verdana"/>
          <w:sz w:val="22"/>
          <w:szCs w:val="22"/>
        </w:rPr>
      </w:pPr>
    </w:p>
    <w:p w14:paraId="4B601C6A" w14:textId="412EDF5B" w:rsidR="000914C0" w:rsidRPr="000914C0" w:rsidRDefault="000914C0" w:rsidP="006640A7">
      <w:pPr>
        <w:jc w:val="both"/>
        <w:rPr>
          <w:rFonts w:ascii="Verdana" w:hAnsi="Verdana"/>
          <w:sz w:val="22"/>
          <w:szCs w:val="22"/>
        </w:rPr>
      </w:pPr>
    </w:p>
    <w:p w14:paraId="3E3B7F86" w14:textId="0B980CE0" w:rsidR="000914C0" w:rsidRPr="000914C0" w:rsidRDefault="000914C0" w:rsidP="006640A7">
      <w:pPr>
        <w:jc w:val="both"/>
        <w:rPr>
          <w:rFonts w:ascii="Verdana" w:hAnsi="Verdana"/>
          <w:sz w:val="22"/>
          <w:szCs w:val="22"/>
        </w:rPr>
      </w:pPr>
    </w:p>
    <w:p w14:paraId="6332B501" w14:textId="3AD659CE" w:rsidR="000914C0" w:rsidRDefault="000914C0" w:rsidP="006640A7">
      <w:pPr>
        <w:jc w:val="both"/>
        <w:rPr>
          <w:rFonts w:ascii="Verdana" w:hAnsi="Verdana"/>
          <w:sz w:val="22"/>
          <w:szCs w:val="22"/>
        </w:rPr>
      </w:pPr>
    </w:p>
    <w:p w14:paraId="28B343D6" w14:textId="003E438F" w:rsidR="004475A8" w:rsidRPr="000914C0" w:rsidRDefault="004475A8" w:rsidP="006640A7">
      <w:pPr>
        <w:jc w:val="both"/>
        <w:rPr>
          <w:rFonts w:ascii="Verdana" w:hAnsi="Verdana"/>
          <w:sz w:val="22"/>
          <w:szCs w:val="22"/>
        </w:rPr>
      </w:pPr>
    </w:p>
    <w:p w14:paraId="3DF90EA0" w14:textId="16B2F668" w:rsidR="000914C0" w:rsidRPr="000914C0" w:rsidRDefault="000914C0" w:rsidP="006640A7">
      <w:pPr>
        <w:jc w:val="both"/>
        <w:rPr>
          <w:rFonts w:ascii="Verdana" w:hAnsi="Verdana"/>
          <w:sz w:val="22"/>
          <w:szCs w:val="22"/>
        </w:rPr>
      </w:pPr>
    </w:p>
    <w:p w14:paraId="6AA3A4EF" w14:textId="77777777" w:rsidR="000914C0" w:rsidRPr="000914C0" w:rsidRDefault="000914C0" w:rsidP="006640A7">
      <w:pPr>
        <w:jc w:val="both"/>
        <w:rPr>
          <w:rFonts w:ascii="Verdana" w:hAnsi="Verdana"/>
          <w:sz w:val="22"/>
          <w:szCs w:val="22"/>
        </w:rPr>
      </w:pPr>
    </w:p>
    <w:p w14:paraId="5C5D44DE" w14:textId="77777777" w:rsidR="006640A7" w:rsidRPr="000914C0" w:rsidRDefault="006640A7" w:rsidP="006640A7">
      <w:pPr>
        <w:jc w:val="both"/>
        <w:rPr>
          <w:rFonts w:ascii="Verdana" w:hAnsi="Verdana"/>
          <w:b/>
          <w:sz w:val="22"/>
          <w:szCs w:val="22"/>
        </w:rPr>
      </w:pPr>
      <w:r w:rsidRPr="000914C0">
        <w:rPr>
          <w:rFonts w:ascii="Verdana" w:hAnsi="Verdana"/>
          <w:b/>
          <w:sz w:val="22"/>
          <w:szCs w:val="22"/>
        </w:rPr>
        <w:t>II. OBJETO DEL PROYECTO DE ACTO LEGISLATIVO</w:t>
      </w:r>
    </w:p>
    <w:p w14:paraId="0127D963" w14:textId="77777777" w:rsidR="006640A7" w:rsidRPr="000914C0" w:rsidRDefault="006640A7" w:rsidP="006640A7">
      <w:pPr>
        <w:jc w:val="both"/>
        <w:rPr>
          <w:rFonts w:ascii="Verdana" w:hAnsi="Verdana"/>
          <w:sz w:val="22"/>
          <w:szCs w:val="22"/>
        </w:rPr>
      </w:pPr>
    </w:p>
    <w:p w14:paraId="5B1699DE" w14:textId="191DF3E1" w:rsidR="00635112" w:rsidRPr="000914C0" w:rsidRDefault="00635112" w:rsidP="00635112">
      <w:pPr>
        <w:pStyle w:val="NormalWeb"/>
        <w:shd w:val="clear" w:color="auto" w:fill="FFFFFF"/>
        <w:spacing w:before="0" w:beforeAutospacing="0" w:after="0" w:afterAutospacing="0"/>
        <w:jc w:val="both"/>
        <w:rPr>
          <w:rFonts w:ascii="Verdana" w:hAnsi="Verdana" w:cstheme="minorHAnsi"/>
          <w:bCs/>
          <w:color w:val="000000" w:themeColor="text1"/>
          <w:sz w:val="22"/>
          <w:szCs w:val="22"/>
        </w:rPr>
      </w:pPr>
      <w:r w:rsidRPr="000914C0">
        <w:rPr>
          <w:rFonts w:ascii="Verdana" w:hAnsi="Verdana"/>
          <w:sz w:val="22"/>
          <w:szCs w:val="22"/>
        </w:rPr>
        <w:t xml:space="preserve">La presente ley tiene como objeto la creación </w:t>
      </w:r>
      <w:r w:rsidRPr="000914C0">
        <w:rPr>
          <w:rFonts w:ascii="Verdana" w:hAnsi="Verdana" w:cstheme="minorHAnsi"/>
          <w:color w:val="000000" w:themeColor="text1"/>
          <w:sz w:val="22"/>
          <w:szCs w:val="22"/>
        </w:rPr>
        <w:t>del Plan Nacional de Desarme Blanco Ciudadano, el contendrá cinco estrategias mínimas para alcanzar</w:t>
      </w:r>
      <w:r w:rsidRPr="000914C0">
        <w:rPr>
          <w:rFonts w:ascii="Verdana" w:hAnsi="Verdana" w:cstheme="minorHAnsi"/>
          <w:b/>
          <w:color w:val="000000" w:themeColor="text1"/>
          <w:sz w:val="22"/>
          <w:szCs w:val="22"/>
        </w:rPr>
        <w:t> </w:t>
      </w:r>
      <w:r w:rsidRPr="000914C0">
        <w:rPr>
          <w:rStyle w:val="Textoennegrita"/>
          <w:rFonts w:ascii="Verdana" w:hAnsi="Verdana" w:cstheme="minorHAnsi"/>
          <w:b w:val="0"/>
          <w:color w:val="000000" w:themeColor="text1"/>
          <w:sz w:val="22"/>
          <w:szCs w:val="22"/>
        </w:rPr>
        <w:t>sus objetivos de manera integral:</w:t>
      </w:r>
      <w:r w:rsidRPr="000914C0">
        <w:rPr>
          <w:rStyle w:val="Textoennegrita"/>
          <w:rFonts w:ascii="Verdana" w:hAnsi="Verdana" w:cstheme="minorHAnsi"/>
          <w:color w:val="000000" w:themeColor="text1"/>
          <w:sz w:val="22"/>
          <w:szCs w:val="22"/>
        </w:rPr>
        <w:t xml:space="preserve"> </w:t>
      </w:r>
      <w:r w:rsidRPr="000914C0">
        <w:rPr>
          <w:rFonts w:ascii="Verdana" w:hAnsi="Verdana" w:cstheme="minorHAnsi"/>
          <w:color w:val="000000" w:themeColor="text1"/>
          <w:sz w:val="22"/>
          <w:szCs w:val="22"/>
        </w:rPr>
        <w:t>1) Campañas pedagógicas para cambiar la percepción de que las armas blancas proveen seguridad</w:t>
      </w:r>
      <w:r w:rsidRPr="000914C0">
        <w:rPr>
          <w:rFonts w:ascii="Verdana" w:hAnsi="Verdana" w:cstheme="minorHAnsi"/>
          <w:bCs/>
          <w:color w:val="000000" w:themeColor="text1"/>
          <w:sz w:val="22"/>
          <w:szCs w:val="22"/>
        </w:rPr>
        <w:t xml:space="preserve">, </w:t>
      </w:r>
      <w:r w:rsidRPr="000914C0">
        <w:rPr>
          <w:rFonts w:ascii="Verdana" w:hAnsi="Verdana" w:cstheme="minorHAnsi"/>
          <w:color w:val="000000" w:themeColor="text1"/>
          <w:sz w:val="22"/>
          <w:szCs w:val="22"/>
        </w:rPr>
        <w:t>2) Restricción al porte y uso de armas blancas en espacios específicos</w:t>
      </w:r>
      <w:r w:rsidRPr="000914C0">
        <w:rPr>
          <w:rFonts w:ascii="Verdana" w:hAnsi="Verdana" w:cstheme="minorHAnsi"/>
          <w:bCs/>
          <w:color w:val="000000" w:themeColor="text1"/>
          <w:sz w:val="22"/>
          <w:szCs w:val="22"/>
        </w:rPr>
        <w:t xml:space="preserve">, </w:t>
      </w:r>
      <w:r w:rsidRPr="000914C0">
        <w:rPr>
          <w:rFonts w:ascii="Verdana" w:hAnsi="Verdana" w:cstheme="minorHAnsi"/>
          <w:color w:val="000000" w:themeColor="text1"/>
          <w:sz w:val="22"/>
          <w:szCs w:val="22"/>
        </w:rPr>
        <w:t>3) Utilización de mecanismos de participación ciudadana</w:t>
      </w:r>
      <w:r w:rsidRPr="000914C0">
        <w:rPr>
          <w:rFonts w:ascii="Verdana" w:hAnsi="Verdana" w:cstheme="minorHAnsi"/>
          <w:bCs/>
          <w:color w:val="000000" w:themeColor="text1"/>
          <w:sz w:val="22"/>
          <w:szCs w:val="22"/>
        </w:rPr>
        <w:t xml:space="preserve">, </w:t>
      </w:r>
      <w:r w:rsidRPr="000914C0">
        <w:rPr>
          <w:rFonts w:ascii="Verdana" w:hAnsi="Verdana" w:cstheme="minorHAnsi"/>
          <w:color w:val="000000" w:themeColor="text1"/>
          <w:sz w:val="22"/>
          <w:szCs w:val="22"/>
        </w:rPr>
        <w:t>4) Acciones policivas para reforzar el cumplimiento de restricciones</w:t>
      </w:r>
      <w:r w:rsidRPr="000914C0">
        <w:rPr>
          <w:rFonts w:ascii="Verdana" w:hAnsi="Verdana" w:cstheme="minorHAnsi"/>
          <w:bCs/>
          <w:color w:val="000000" w:themeColor="text1"/>
          <w:sz w:val="22"/>
          <w:szCs w:val="22"/>
        </w:rPr>
        <w:t xml:space="preserve"> y </w:t>
      </w:r>
      <w:r w:rsidRPr="000914C0">
        <w:rPr>
          <w:rFonts w:ascii="Verdana" w:hAnsi="Verdana" w:cstheme="minorHAnsi"/>
          <w:color w:val="000000" w:themeColor="text1"/>
          <w:sz w:val="22"/>
          <w:szCs w:val="22"/>
        </w:rPr>
        <w:t>5) Regulaciones implementadas en este marco</w:t>
      </w:r>
    </w:p>
    <w:p w14:paraId="421027F6" w14:textId="1460214A" w:rsidR="006640A7" w:rsidRPr="000914C0" w:rsidRDefault="006640A7" w:rsidP="00635112">
      <w:pPr>
        <w:pStyle w:val="Textoindependiente"/>
        <w:spacing w:before="1"/>
        <w:ind w:left="100" w:right="120"/>
        <w:jc w:val="both"/>
        <w:rPr>
          <w:rFonts w:ascii="Verdana" w:hAnsi="Verdana"/>
          <w:sz w:val="22"/>
          <w:szCs w:val="22"/>
        </w:rPr>
      </w:pPr>
    </w:p>
    <w:p w14:paraId="13B6AD02" w14:textId="77777777" w:rsidR="006640A7" w:rsidRPr="000914C0" w:rsidRDefault="006640A7" w:rsidP="006640A7">
      <w:pPr>
        <w:ind w:left="708"/>
        <w:jc w:val="both"/>
        <w:rPr>
          <w:rFonts w:ascii="Verdana" w:eastAsia="Times New Roman" w:hAnsi="Verdana" w:cs="Times New Roman"/>
          <w:sz w:val="22"/>
          <w:szCs w:val="22"/>
          <w:lang w:eastAsia="es-ES_tradnl"/>
        </w:rPr>
      </w:pPr>
    </w:p>
    <w:p w14:paraId="497B5FF9" w14:textId="0FD0837F" w:rsidR="006640A7" w:rsidRPr="000914C0" w:rsidRDefault="00635112" w:rsidP="006640A7">
      <w:pPr>
        <w:jc w:val="both"/>
        <w:rPr>
          <w:rFonts w:ascii="Verdana" w:eastAsia="Times New Roman" w:hAnsi="Verdana" w:cs="Times New Roman"/>
          <w:b/>
          <w:sz w:val="22"/>
          <w:szCs w:val="22"/>
          <w:lang w:eastAsia="es-ES_tradnl"/>
        </w:rPr>
      </w:pPr>
      <w:r w:rsidRPr="000914C0">
        <w:rPr>
          <w:rFonts w:ascii="Verdana" w:eastAsia="Times New Roman" w:hAnsi="Verdana" w:cs="Times New Roman"/>
          <w:b/>
          <w:sz w:val="22"/>
          <w:szCs w:val="22"/>
          <w:lang w:eastAsia="es-ES_tradnl"/>
        </w:rPr>
        <w:t>III</w:t>
      </w:r>
      <w:r w:rsidR="006640A7" w:rsidRPr="000914C0">
        <w:rPr>
          <w:rFonts w:ascii="Verdana" w:eastAsia="Times New Roman" w:hAnsi="Verdana" w:cs="Times New Roman"/>
          <w:b/>
          <w:sz w:val="22"/>
          <w:szCs w:val="22"/>
          <w:lang w:eastAsia="es-ES_tradnl"/>
        </w:rPr>
        <w:t>. CONCEPTO CONSEJO DE POLÍTICA CRIMINAL</w:t>
      </w:r>
    </w:p>
    <w:p w14:paraId="1D1DBBD6" w14:textId="77777777" w:rsidR="006640A7" w:rsidRPr="000914C0" w:rsidRDefault="006640A7" w:rsidP="006640A7">
      <w:pPr>
        <w:jc w:val="both"/>
        <w:rPr>
          <w:rFonts w:ascii="Verdana" w:eastAsia="Times New Roman" w:hAnsi="Verdana" w:cs="Times New Roman"/>
          <w:b/>
          <w:sz w:val="22"/>
          <w:szCs w:val="22"/>
          <w:lang w:eastAsia="es-ES_tradnl"/>
        </w:rPr>
      </w:pPr>
    </w:p>
    <w:p w14:paraId="287F25BB" w14:textId="2DDEA8F2" w:rsidR="0090797E" w:rsidRPr="000914C0" w:rsidRDefault="006640A7" w:rsidP="0045495B">
      <w:pPr>
        <w:jc w:val="both"/>
        <w:rPr>
          <w:rFonts w:ascii="Verdana" w:hAnsi="Verdana"/>
          <w:sz w:val="22"/>
          <w:szCs w:val="22"/>
        </w:rPr>
      </w:pPr>
      <w:r w:rsidRPr="000914C0">
        <w:rPr>
          <w:rFonts w:ascii="Verdana" w:hAnsi="Verdana"/>
          <w:sz w:val="22"/>
          <w:szCs w:val="22"/>
        </w:rPr>
        <w:t xml:space="preserve">El Consejo Superior de Política Criminal emitió un concepto </w:t>
      </w:r>
      <w:r w:rsidR="00635112" w:rsidRPr="000914C0">
        <w:rPr>
          <w:rFonts w:ascii="Verdana" w:hAnsi="Verdana"/>
          <w:sz w:val="22"/>
          <w:szCs w:val="22"/>
        </w:rPr>
        <w:t>des</w:t>
      </w:r>
      <w:r w:rsidRPr="000914C0">
        <w:rPr>
          <w:rFonts w:ascii="Verdana" w:hAnsi="Verdana"/>
          <w:sz w:val="22"/>
          <w:szCs w:val="22"/>
        </w:rPr>
        <w:t>favorable al Proyecto de Acto Legislativo. El documento expone</w:t>
      </w:r>
      <w:r w:rsidR="0045495B" w:rsidRPr="000914C0">
        <w:rPr>
          <w:rFonts w:ascii="Verdana" w:hAnsi="Verdana"/>
          <w:sz w:val="22"/>
          <w:szCs w:val="22"/>
        </w:rPr>
        <w:t xml:space="preserve"> en</w:t>
      </w:r>
      <w:r w:rsidRPr="000914C0">
        <w:rPr>
          <w:rFonts w:ascii="Verdana" w:hAnsi="Verdana"/>
          <w:sz w:val="22"/>
          <w:szCs w:val="22"/>
        </w:rPr>
        <w:t xml:space="preserve"> las argumentaciones centrales </w:t>
      </w:r>
      <w:r w:rsidR="0045495B" w:rsidRPr="000914C0">
        <w:rPr>
          <w:rFonts w:ascii="Verdana" w:hAnsi="Verdana"/>
          <w:sz w:val="22"/>
          <w:szCs w:val="22"/>
        </w:rPr>
        <w:t xml:space="preserve">que el presente proyecto de ley resulta de inconveniencia político criminal, así mismo establece que existe una superposición de normas ya existentes. </w:t>
      </w:r>
    </w:p>
    <w:p w14:paraId="27B18B8F" w14:textId="7D0654E5" w:rsidR="0045495B" w:rsidRPr="000914C0" w:rsidRDefault="0045495B" w:rsidP="0045495B">
      <w:pPr>
        <w:jc w:val="both"/>
        <w:rPr>
          <w:rFonts w:ascii="Verdana" w:hAnsi="Verdana"/>
          <w:sz w:val="22"/>
          <w:szCs w:val="22"/>
        </w:rPr>
      </w:pPr>
    </w:p>
    <w:p w14:paraId="341554F4" w14:textId="58030888" w:rsidR="00F50305" w:rsidRPr="000914C0" w:rsidRDefault="0045495B" w:rsidP="0045495B">
      <w:pPr>
        <w:jc w:val="both"/>
        <w:rPr>
          <w:rFonts w:ascii="Verdana" w:hAnsi="Verdana"/>
          <w:sz w:val="22"/>
          <w:szCs w:val="22"/>
        </w:rPr>
      </w:pPr>
      <w:r w:rsidRPr="000914C0">
        <w:rPr>
          <w:rFonts w:ascii="Verdana" w:hAnsi="Verdana"/>
          <w:sz w:val="22"/>
          <w:szCs w:val="22"/>
        </w:rPr>
        <w:t xml:space="preserve">El concepto refiere que la definición de arma </w:t>
      </w:r>
      <w:r w:rsidR="00F50305" w:rsidRPr="000914C0">
        <w:rPr>
          <w:rFonts w:ascii="Verdana" w:hAnsi="Verdana"/>
          <w:sz w:val="22"/>
          <w:szCs w:val="22"/>
        </w:rPr>
        <w:t xml:space="preserve">blancas contradictoria e ilógica por lo que no sería solamente un objeto </w:t>
      </w:r>
      <w:proofErr w:type="spellStart"/>
      <w:r w:rsidR="00F50305" w:rsidRPr="000914C0">
        <w:rPr>
          <w:rFonts w:ascii="Verdana" w:hAnsi="Verdana"/>
          <w:sz w:val="22"/>
          <w:szCs w:val="22"/>
        </w:rPr>
        <w:t>cortopunzante</w:t>
      </w:r>
      <w:proofErr w:type="spellEnd"/>
      <w:r w:rsidR="00F50305" w:rsidRPr="000914C0">
        <w:rPr>
          <w:rFonts w:ascii="Verdana" w:hAnsi="Verdana"/>
          <w:sz w:val="22"/>
          <w:szCs w:val="22"/>
        </w:rPr>
        <w:t xml:space="preserve"> sino además todo aquello que pudiera poner en peligro la vida e integridad personal. </w:t>
      </w:r>
    </w:p>
    <w:p w14:paraId="1EDA15A8" w14:textId="77777777" w:rsidR="00F50305" w:rsidRPr="000914C0" w:rsidRDefault="00F50305" w:rsidP="0045495B">
      <w:pPr>
        <w:jc w:val="both"/>
        <w:rPr>
          <w:rFonts w:ascii="Verdana" w:hAnsi="Verdana"/>
          <w:sz w:val="22"/>
          <w:szCs w:val="22"/>
        </w:rPr>
      </w:pPr>
    </w:p>
    <w:p w14:paraId="76F3C462" w14:textId="6F10BECB" w:rsidR="0045495B" w:rsidRPr="000914C0" w:rsidRDefault="00F50305" w:rsidP="0045495B">
      <w:pPr>
        <w:jc w:val="both"/>
        <w:rPr>
          <w:rFonts w:ascii="Verdana" w:hAnsi="Verdana"/>
          <w:sz w:val="22"/>
          <w:szCs w:val="22"/>
        </w:rPr>
      </w:pPr>
      <w:r w:rsidRPr="000914C0">
        <w:rPr>
          <w:rFonts w:ascii="Verdana" w:hAnsi="Verdana"/>
          <w:sz w:val="22"/>
          <w:szCs w:val="22"/>
        </w:rPr>
        <w:t>Adicionalmente el análisis relacionado con lo que significa peligro para la comunidad establecido como requisito para imponer medida de aseguramiento</w:t>
      </w:r>
      <w:r w:rsidR="00C57AE1" w:rsidRPr="000914C0">
        <w:rPr>
          <w:rFonts w:ascii="Verdana" w:hAnsi="Verdana"/>
          <w:sz w:val="22"/>
          <w:szCs w:val="22"/>
        </w:rPr>
        <w:t>, u</w:t>
      </w:r>
      <w:r w:rsidRPr="000914C0">
        <w:rPr>
          <w:rFonts w:ascii="Verdana" w:hAnsi="Verdana"/>
          <w:sz w:val="22"/>
          <w:szCs w:val="22"/>
        </w:rPr>
        <w:t xml:space="preserve">tiliza como uno de </w:t>
      </w:r>
      <w:r w:rsidR="00C57AE1" w:rsidRPr="000914C0">
        <w:rPr>
          <w:rFonts w:ascii="Verdana" w:hAnsi="Verdana"/>
          <w:sz w:val="22"/>
          <w:szCs w:val="22"/>
        </w:rPr>
        <w:t>sus criterios</w:t>
      </w:r>
      <w:r w:rsidRPr="000914C0">
        <w:rPr>
          <w:rFonts w:ascii="Verdana" w:hAnsi="Verdana"/>
          <w:sz w:val="22"/>
          <w:szCs w:val="22"/>
        </w:rPr>
        <w:t xml:space="preserve"> el hecho de usar armas blancas estaría abriendo una puerta desproporcional para el uso de la detención preventiva, toda vez que se podría entender que todo objeto de los ya descrito implica peligro para la comunidad.</w:t>
      </w:r>
    </w:p>
    <w:p w14:paraId="5F6EE656" w14:textId="3C8752B9" w:rsidR="00F50305" w:rsidRPr="000914C0" w:rsidRDefault="00F50305" w:rsidP="0045495B">
      <w:pPr>
        <w:jc w:val="both"/>
        <w:rPr>
          <w:rFonts w:ascii="Verdana" w:hAnsi="Verdana"/>
          <w:sz w:val="22"/>
          <w:szCs w:val="22"/>
        </w:rPr>
      </w:pPr>
    </w:p>
    <w:p w14:paraId="2E7D691C" w14:textId="70745459" w:rsidR="00F50305" w:rsidRPr="000914C0" w:rsidRDefault="00F50305" w:rsidP="0045495B">
      <w:pPr>
        <w:jc w:val="both"/>
        <w:rPr>
          <w:rFonts w:ascii="Verdana" w:hAnsi="Verdana"/>
          <w:sz w:val="22"/>
          <w:szCs w:val="22"/>
        </w:rPr>
      </w:pPr>
      <w:r w:rsidRPr="000914C0">
        <w:rPr>
          <w:rFonts w:ascii="Verdana" w:hAnsi="Verdana"/>
          <w:sz w:val="22"/>
          <w:szCs w:val="22"/>
        </w:rPr>
        <w:t xml:space="preserve">Por otro lado, tal y como lo establece el Consejo de Política Criminal, resulta incompleta la </w:t>
      </w:r>
      <w:r w:rsidR="00C57AE1" w:rsidRPr="000914C0">
        <w:rPr>
          <w:rFonts w:ascii="Verdana" w:hAnsi="Verdana"/>
          <w:sz w:val="22"/>
          <w:szCs w:val="22"/>
        </w:rPr>
        <w:t>exposición</w:t>
      </w:r>
      <w:r w:rsidRPr="000914C0">
        <w:rPr>
          <w:rFonts w:ascii="Verdana" w:hAnsi="Verdana"/>
          <w:sz w:val="22"/>
          <w:szCs w:val="22"/>
        </w:rPr>
        <w:t xml:space="preserve"> de motivos en la cual no se establece la forma de </w:t>
      </w:r>
      <w:r w:rsidR="00C57AE1" w:rsidRPr="000914C0">
        <w:rPr>
          <w:rFonts w:ascii="Verdana" w:hAnsi="Verdana"/>
          <w:sz w:val="22"/>
          <w:szCs w:val="22"/>
        </w:rPr>
        <w:t>implementar</w:t>
      </w:r>
      <w:r w:rsidRPr="000914C0">
        <w:rPr>
          <w:rFonts w:ascii="Verdana" w:hAnsi="Verdana"/>
          <w:sz w:val="22"/>
          <w:szCs w:val="22"/>
        </w:rPr>
        <w:t xml:space="preserve"> dicho plan en las zonas rurales del país, y lugares donde el Estado no hace presencia y se imposibilitaría hacer la labor. </w:t>
      </w:r>
    </w:p>
    <w:p w14:paraId="39D4DC09" w14:textId="360A08EE" w:rsidR="00C57AE1" w:rsidRPr="000914C0" w:rsidRDefault="00C57AE1" w:rsidP="0045495B">
      <w:pPr>
        <w:jc w:val="both"/>
        <w:rPr>
          <w:rFonts w:ascii="Verdana" w:hAnsi="Verdana"/>
          <w:sz w:val="22"/>
          <w:szCs w:val="22"/>
        </w:rPr>
      </w:pPr>
    </w:p>
    <w:p w14:paraId="3A056D20" w14:textId="441438F6" w:rsidR="00C57AE1" w:rsidRPr="000914C0" w:rsidRDefault="00C57AE1" w:rsidP="0045495B">
      <w:pPr>
        <w:jc w:val="both"/>
        <w:rPr>
          <w:rFonts w:ascii="Verdana" w:hAnsi="Verdana"/>
          <w:sz w:val="22"/>
          <w:szCs w:val="22"/>
        </w:rPr>
      </w:pPr>
      <w:r w:rsidRPr="000914C0">
        <w:rPr>
          <w:rFonts w:ascii="Verdana" w:hAnsi="Verdana"/>
          <w:sz w:val="22"/>
          <w:szCs w:val="22"/>
        </w:rPr>
        <w:t xml:space="preserve">Finalmente menciona que ni el articulado, ni la exposición de motivos da cuenta sobre el impacto fiscal de estas medidas y lo que implicaría en las asignaciones estatales. </w:t>
      </w:r>
    </w:p>
    <w:p w14:paraId="02D64412" w14:textId="6FB27E1E" w:rsidR="00F50305" w:rsidRDefault="00F50305" w:rsidP="0045495B">
      <w:pPr>
        <w:jc w:val="both"/>
        <w:rPr>
          <w:rFonts w:ascii="Verdana" w:hAnsi="Verdana"/>
          <w:sz w:val="22"/>
          <w:szCs w:val="22"/>
        </w:rPr>
      </w:pPr>
    </w:p>
    <w:p w14:paraId="2D9D3572" w14:textId="03181189" w:rsidR="004475A8" w:rsidRDefault="004475A8" w:rsidP="0045495B">
      <w:pPr>
        <w:jc w:val="both"/>
        <w:rPr>
          <w:rFonts w:ascii="Verdana" w:hAnsi="Verdana"/>
          <w:sz w:val="22"/>
          <w:szCs w:val="22"/>
        </w:rPr>
      </w:pPr>
    </w:p>
    <w:p w14:paraId="7C2E4754" w14:textId="6DBB1134" w:rsidR="000914C0" w:rsidRPr="000914C0" w:rsidRDefault="000914C0" w:rsidP="008D18A8">
      <w:pPr>
        <w:jc w:val="both"/>
        <w:rPr>
          <w:rFonts w:ascii="Verdana" w:hAnsi="Verdana"/>
          <w:b/>
          <w:sz w:val="22"/>
          <w:szCs w:val="22"/>
        </w:rPr>
      </w:pPr>
    </w:p>
    <w:p w14:paraId="46056E30" w14:textId="55347D4B" w:rsidR="000914C0" w:rsidRPr="000914C0" w:rsidRDefault="000914C0" w:rsidP="008D18A8">
      <w:pPr>
        <w:jc w:val="both"/>
        <w:rPr>
          <w:rFonts w:ascii="Verdana" w:hAnsi="Verdana"/>
          <w:b/>
          <w:sz w:val="22"/>
          <w:szCs w:val="22"/>
        </w:rPr>
      </w:pPr>
    </w:p>
    <w:p w14:paraId="5D29B723" w14:textId="2C912CFA" w:rsidR="00C464E3" w:rsidRDefault="00635112" w:rsidP="008D18A8">
      <w:pPr>
        <w:jc w:val="both"/>
        <w:rPr>
          <w:rFonts w:ascii="Verdana" w:hAnsi="Verdana"/>
          <w:b/>
          <w:sz w:val="22"/>
          <w:szCs w:val="22"/>
        </w:rPr>
      </w:pPr>
      <w:r w:rsidRPr="000914C0">
        <w:rPr>
          <w:rFonts w:ascii="Verdana" w:hAnsi="Verdana"/>
          <w:b/>
          <w:sz w:val="22"/>
          <w:szCs w:val="22"/>
        </w:rPr>
        <w:lastRenderedPageBreak/>
        <w:t>I</w:t>
      </w:r>
      <w:r w:rsidR="0085162E" w:rsidRPr="000914C0">
        <w:rPr>
          <w:rFonts w:ascii="Verdana" w:hAnsi="Verdana"/>
          <w:b/>
          <w:sz w:val="22"/>
          <w:szCs w:val="22"/>
        </w:rPr>
        <w:t xml:space="preserve">V. CONSIDERACIONES </w:t>
      </w:r>
    </w:p>
    <w:p w14:paraId="58773FB2" w14:textId="77777777" w:rsidR="00C464E3" w:rsidRPr="000914C0" w:rsidRDefault="00C464E3" w:rsidP="008D18A8">
      <w:pPr>
        <w:jc w:val="both"/>
        <w:rPr>
          <w:rFonts w:ascii="Verdana" w:hAnsi="Verdana"/>
          <w:b/>
          <w:sz w:val="22"/>
          <w:szCs w:val="22"/>
        </w:rPr>
      </w:pPr>
    </w:p>
    <w:p w14:paraId="7869BEBF" w14:textId="77777777" w:rsidR="000914C0" w:rsidRPr="000914C0" w:rsidRDefault="008D18A8" w:rsidP="00635112">
      <w:pPr>
        <w:jc w:val="both"/>
        <w:rPr>
          <w:rFonts w:ascii="Verdana" w:hAnsi="Verdana"/>
          <w:sz w:val="22"/>
          <w:szCs w:val="22"/>
        </w:rPr>
      </w:pPr>
      <w:r w:rsidRPr="000914C0">
        <w:rPr>
          <w:rFonts w:ascii="Verdana" w:hAnsi="Verdana"/>
          <w:sz w:val="22"/>
          <w:szCs w:val="22"/>
        </w:rPr>
        <w:t>El presente Proyecto de Acto Legislativo contiene una iniciativa que es altamente inconveniente por diversas razones.</w:t>
      </w:r>
      <w:r w:rsidR="00C57AE1" w:rsidRPr="000914C0">
        <w:rPr>
          <w:rFonts w:ascii="Verdana" w:hAnsi="Verdana"/>
          <w:sz w:val="22"/>
          <w:szCs w:val="22"/>
        </w:rPr>
        <w:t xml:space="preserve"> </w:t>
      </w:r>
      <w:r w:rsidR="000914C0" w:rsidRPr="000914C0">
        <w:rPr>
          <w:rFonts w:ascii="Verdana" w:hAnsi="Verdana"/>
          <w:sz w:val="22"/>
          <w:szCs w:val="22"/>
        </w:rPr>
        <w:t xml:space="preserve">Especialmente las extralimitaciones que se ven reflejadas en un plan de seguridad con un componente policivo y el despliegue de accionar en todo el territorio. </w:t>
      </w:r>
    </w:p>
    <w:p w14:paraId="36BAD0E8" w14:textId="77777777" w:rsidR="000914C0" w:rsidRPr="000914C0" w:rsidRDefault="000914C0" w:rsidP="00635112">
      <w:pPr>
        <w:jc w:val="both"/>
        <w:rPr>
          <w:rFonts w:ascii="Verdana" w:hAnsi="Verdana"/>
          <w:sz w:val="22"/>
          <w:szCs w:val="22"/>
        </w:rPr>
      </w:pPr>
    </w:p>
    <w:p w14:paraId="6F1EBBF6" w14:textId="5899F37B" w:rsidR="000914C0" w:rsidRPr="000914C0" w:rsidRDefault="000914C0" w:rsidP="00635112">
      <w:pPr>
        <w:jc w:val="both"/>
        <w:rPr>
          <w:rFonts w:ascii="Verdana" w:hAnsi="Verdana"/>
          <w:sz w:val="22"/>
          <w:szCs w:val="22"/>
        </w:rPr>
      </w:pPr>
      <w:r w:rsidRPr="000914C0">
        <w:rPr>
          <w:rFonts w:ascii="Verdana" w:hAnsi="Verdana"/>
          <w:sz w:val="22"/>
          <w:szCs w:val="22"/>
        </w:rPr>
        <w:t xml:space="preserve">Lo primero que debe considerarse es que en múltiples ocasiones el actual código de policía </w:t>
      </w:r>
      <w:r w:rsidR="00C464E3" w:rsidRPr="000914C0">
        <w:rPr>
          <w:rFonts w:ascii="Verdana" w:hAnsi="Verdana"/>
          <w:sz w:val="22"/>
          <w:szCs w:val="22"/>
        </w:rPr>
        <w:t xml:space="preserve">ley 1801 de 2016 </w:t>
      </w:r>
      <w:r w:rsidRPr="000914C0">
        <w:rPr>
          <w:rFonts w:ascii="Verdana" w:hAnsi="Verdana"/>
          <w:sz w:val="22"/>
          <w:szCs w:val="22"/>
        </w:rPr>
        <w:t>ha sido demandado ante la Corte Constitucional debido al alto grado de vulneración en los derechos fundamentales de la ciudadanía, que se han visto afectados por dicho accionar extralimitado de la fuerza pública.</w:t>
      </w:r>
    </w:p>
    <w:p w14:paraId="6D3A81C6" w14:textId="589D7337" w:rsidR="000914C0" w:rsidRDefault="000914C0" w:rsidP="00635112">
      <w:pPr>
        <w:jc w:val="both"/>
        <w:rPr>
          <w:rFonts w:ascii="Verdana" w:hAnsi="Verdana"/>
          <w:sz w:val="22"/>
          <w:szCs w:val="22"/>
        </w:rPr>
      </w:pPr>
    </w:p>
    <w:p w14:paraId="6CADD88D" w14:textId="01B08E83" w:rsidR="00517A16" w:rsidRDefault="00517A16" w:rsidP="00635112">
      <w:pPr>
        <w:jc w:val="both"/>
        <w:rPr>
          <w:rFonts w:ascii="Verdana" w:hAnsi="Verdana"/>
          <w:sz w:val="22"/>
          <w:szCs w:val="22"/>
        </w:rPr>
      </w:pPr>
      <w:r>
        <w:rPr>
          <w:rFonts w:ascii="Verdana" w:hAnsi="Verdana"/>
          <w:sz w:val="22"/>
          <w:szCs w:val="22"/>
        </w:rPr>
        <w:t xml:space="preserve">El poder estatal que se le otorga a la policía nacional surge de la delegación misma que el Congreso de la Republica otorga en el marco de los limites constitucionales del Estado social de derecho con el fin único de mantener el bienestar general y el orden público con garantías de cumplimiento de los principios y derechos constitucionales. </w:t>
      </w:r>
    </w:p>
    <w:p w14:paraId="6ED64EE9" w14:textId="0CC29860" w:rsidR="004475A8" w:rsidRPr="004475A8" w:rsidRDefault="004475A8" w:rsidP="00635112">
      <w:pPr>
        <w:jc w:val="both"/>
        <w:rPr>
          <w:rFonts w:ascii="Verdana" w:hAnsi="Verdana"/>
          <w:sz w:val="22"/>
          <w:szCs w:val="22"/>
        </w:rPr>
      </w:pPr>
    </w:p>
    <w:p w14:paraId="2B59ED5B" w14:textId="655CECF3" w:rsidR="004475A8" w:rsidRPr="004475A8" w:rsidRDefault="00517A16" w:rsidP="00635112">
      <w:pPr>
        <w:jc w:val="both"/>
        <w:rPr>
          <w:rFonts w:ascii="Verdana" w:hAnsi="Verdana"/>
          <w:sz w:val="22"/>
          <w:szCs w:val="22"/>
        </w:rPr>
      </w:pPr>
      <w:r w:rsidRPr="004475A8">
        <w:rPr>
          <w:rFonts w:ascii="Verdana" w:hAnsi="Verdana"/>
          <w:sz w:val="22"/>
          <w:szCs w:val="22"/>
        </w:rPr>
        <w:t xml:space="preserve">Según el Observatorio de Intervención Ciudadana Constitucional </w:t>
      </w:r>
      <w:r w:rsidR="00C464E3">
        <w:rPr>
          <w:rFonts w:ascii="Verdana" w:hAnsi="Verdana"/>
          <w:sz w:val="22"/>
          <w:szCs w:val="22"/>
        </w:rPr>
        <w:t>e</w:t>
      </w:r>
      <w:r w:rsidR="004475A8" w:rsidRPr="004475A8">
        <w:rPr>
          <w:rFonts w:ascii="Verdana" w:hAnsi="Verdana"/>
          <w:sz w:val="22"/>
          <w:szCs w:val="22"/>
        </w:rPr>
        <w:t>ste poder de policía materialmente se preceptúa entre otras disposiciones normativas, en particular en los Códigos de Policía, normas que regulan conductas de comportamiento cívico y reprochan conductas de carácter contravencional-no penal</w:t>
      </w:r>
      <w:r>
        <w:rPr>
          <w:rFonts w:ascii="Verdana" w:hAnsi="Verdana"/>
          <w:sz w:val="22"/>
          <w:szCs w:val="22"/>
        </w:rPr>
        <w:t xml:space="preserve"> </w:t>
      </w:r>
      <w:r w:rsidR="004475A8" w:rsidRPr="004475A8">
        <w:rPr>
          <w:rFonts w:ascii="Verdana" w:hAnsi="Verdana"/>
          <w:sz w:val="22"/>
          <w:szCs w:val="22"/>
        </w:rPr>
        <w:t>para mantener el orden público.</w:t>
      </w:r>
      <w:r w:rsidR="00C464E3">
        <w:rPr>
          <w:rFonts w:ascii="Verdana" w:hAnsi="Verdana"/>
          <w:sz w:val="22"/>
          <w:szCs w:val="22"/>
        </w:rPr>
        <w:t xml:space="preserve"> </w:t>
      </w:r>
      <w:r w:rsidR="004475A8" w:rsidRPr="004475A8">
        <w:rPr>
          <w:rFonts w:ascii="Verdana" w:hAnsi="Verdana"/>
          <w:sz w:val="22"/>
          <w:szCs w:val="22"/>
        </w:rPr>
        <w:t>Este Poder originario del Congreso, se transfiere en ejercicio de la Función de Policía a la Rama Ejecutiva a quien originariamente le encomienda la Constitución el mantenimiento y salvaguarda del orden público, facultad de la que también gozan dependiendo de su territorio en particular: los Alcaldes (Art. 315 Constitución Política-numeral 2).</w:t>
      </w:r>
    </w:p>
    <w:p w14:paraId="7BCB5CB4" w14:textId="43B05316" w:rsidR="004475A8" w:rsidRPr="004475A8" w:rsidRDefault="004475A8" w:rsidP="00635112">
      <w:pPr>
        <w:jc w:val="both"/>
        <w:rPr>
          <w:rFonts w:ascii="Verdana" w:hAnsi="Verdana"/>
          <w:sz w:val="22"/>
          <w:szCs w:val="22"/>
        </w:rPr>
      </w:pPr>
    </w:p>
    <w:p w14:paraId="5E7049D5" w14:textId="4B28F44E" w:rsidR="004475A8" w:rsidRPr="004475A8" w:rsidRDefault="004475A8" w:rsidP="00635112">
      <w:pPr>
        <w:jc w:val="both"/>
        <w:rPr>
          <w:rFonts w:ascii="Verdana" w:hAnsi="Verdana"/>
          <w:sz w:val="22"/>
          <w:szCs w:val="22"/>
        </w:rPr>
      </w:pPr>
      <w:r w:rsidRPr="004475A8">
        <w:rPr>
          <w:rFonts w:ascii="Verdana" w:hAnsi="Verdana"/>
          <w:sz w:val="22"/>
          <w:szCs w:val="22"/>
        </w:rPr>
        <w:t>Para la determinación de las materias que debe ser objeto de regulación estatutaria, la Corte Constitucional en sus primeros años fijó que el contenido del núcleo esencial de un derecho está contenido inicialmente en la Constitución Política y corresponde a la ley estatutaria regular este contenido mínimo, adyacent</w:t>
      </w:r>
      <w:r>
        <w:rPr>
          <w:rFonts w:ascii="Verdana" w:hAnsi="Verdana"/>
          <w:sz w:val="22"/>
          <w:szCs w:val="22"/>
        </w:rPr>
        <w:t xml:space="preserve">e y cercano al núcleo esencial del derecho. </w:t>
      </w:r>
      <w:r w:rsidRPr="004475A8">
        <w:rPr>
          <w:rFonts w:ascii="Verdana" w:hAnsi="Verdana"/>
          <w:sz w:val="22"/>
          <w:szCs w:val="22"/>
        </w:rPr>
        <w:t>Para otorgarle claridad al tema, la Corte Constitucional dispuso que por su naturaleza, son temas que tienen Reserva de Ley Estatutaria por expreso mandato de la Constitución Política cuando se trate de (i) la consagración de límites, restricciones, excepciones y pr</w:t>
      </w:r>
      <w:r>
        <w:rPr>
          <w:rFonts w:ascii="Verdana" w:hAnsi="Verdana"/>
          <w:sz w:val="22"/>
          <w:szCs w:val="22"/>
        </w:rPr>
        <w:t>ohibiciones de alcance general</w:t>
      </w:r>
      <w:r w:rsidRPr="004475A8">
        <w:rPr>
          <w:rFonts w:ascii="Verdana" w:hAnsi="Verdana"/>
          <w:sz w:val="22"/>
          <w:szCs w:val="22"/>
        </w:rPr>
        <w:t xml:space="preserve"> a un derecho y (ii) la determina</w:t>
      </w:r>
      <w:r>
        <w:rPr>
          <w:rFonts w:ascii="Verdana" w:hAnsi="Verdana"/>
          <w:sz w:val="22"/>
          <w:szCs w:val="22"/>
        </w:rPr>
        <w:t>ción de los principios básicos</w:t>
      </w:r>
      <w:r w:rsidRPr="004475A8">
        <w:rPr>
          <w:rFonts w:ascii="Verdana" w:hAnsi="Verdana"/>
          <w:sz w:val="22"/>
          <w:szCs w:val="22"/>
        </w:rPr>
        <w:t xml:space="preserve"> inherentes al mismo derecho</w:t>
      </w:r>
      <w:r>
        <w:rPr>
          <w:rStyle w:val="Refdenotaalpie"/>
          <w:rFonts w:ascii="Verdana" w:hAnsi="Verdana"/>
          <w:sz w:val="22"/>
          <w:szCs w:val="22"/>
        </w:rPr>
        <w:footnoteReference w:id="1"/>
      </w:r>
      <w:r w:rsidRPr="004475A8">
        <w:rPr>
          <w:rFonts w:ascii="Verdana" w:hAnsi="Verdana"/>
          <w:sz w:val="22"/>
          <w:szCs w:val="22"/>
        </w:rPr>
        <w:t>.</w:t>
      </w:r>
    </w:p>
    <w:p w14:paraId="625B2668" w14:textId="77777777" w:rsidR="00C464E3" w:rsidRDefault="00C464E3" w:rsidP="00C464E3">
      <w:pPr>
        <w:jc w:val="both"/>
      </w:pPr>
    </w:p>
    <w:p w14:paraId="60F93B46" w14:textId="1C2441BA" w:rsidR="004475A8" w:rsidRDefault="00C464E3" w:rsidP="00C464E3">
      <w:pPr>
        <w:jc w:val="both"/>
        <w:rPr>
          <w:rFonts w:ascii="Verdana" w:hAnsi="Verdana"/>
          <w:sz w:val="22"/>
          <w:szCs w:val="22"/>
        </w:rPr>
      </w:pPr>
      <w:r w:rsidRPr="00C464E3">
        <w:rPr>
          <w:rFonts w:ascii="Verdana" w:hAnsi="Verdana"/>
          <w:sz w:val="22"/>
          <w:szCs w:val="22"/>
        </w:rPr>
        <w:t>La inconstitucionalidad de la norma resulta evidente a lo largo de todo su texto, dado que en ningún momento se encuentra la intervención de un Juez de la Republica para que sanee la actuación o límite de forma anterior o posterior a la realización del registro-allanamiento los poderes del alcalde, transgrediendo garantías fundamentales como el debido proceso y más importante aún, la reserva judicial para emitir esta clase de órdenes, siendo una transgresión insanable del Art. 28 de la Constitución de 1991</w:t>
      </w:r>
      <w:r>
        <w:rPr>
          <w:rStyle w:val="Refdenotaalpie"/>
          <w:rFonts w:ascii="Verdana" w:hAnsi="Verdana"/>
          <w:sz w:val="22"/>
          <w:szCs w:val="22"/>
        </w:rPr>
        <w:footnoteReference w:id="2"/>
      </w:r>
      <w:r w:rsidRPr="00C464E3">
        <w:rPr>
          <w:rFonts w:ascii="Verdana" w:hAnsi="Verdana"/>
          <w:sz w:val="22"/>
          <w:szCs w:val="22"/>
        </w:rPr>
        <w:t>.</w:t>
      </w:r>
    </w:p>
    <w:p w14:paraId="63EC398C" w14:textId="77777777" w:rsidR="00C464E3" w:rsidRPr="000914C0" w:rsidRDefault="00C464E3" w:rsidP="00C464E3">
      <w:pPr>
        <w:jc w:val="both"/>
        <w:rPr>
          <w:rFonts w:ascii="Verdana" w:hAnsi="Verdana"/>
          <w:sz w:val="22"/>
          <w:szCs w:val="22"/>
        </w:rPr>
      </w:pPr>
    </w:p>
    <w:p w14:paraId="27BE2B1D" w14:textId="08160BBD" w:rsidR="00420B2A" w:rsidRPr="000914C0" w:rsidRDefault="00C57AE1" w:rsidP="00635112">
      <w:pPr>
        <w:jc w:val="both"/>
        <w:rPr>
          <w:rFonts w:ascii="Verdana" w:hAnsi="Verdana"/>
          <w:sz w:val="22"/>
          <w:szCs w:val="22"/>
        </w:rPr>
      </w:pPr>
      <w:r w:rsidRPr="000914C0">
        <w:rPr>
          <w:rFonts w:ascii="Verdana" w:hAnsi="Verdana"/>
          <w:sz w:val="22"/>
          <w:szCs w:val="22"/>
        </w:rPr>
        <w:t xml:space="preserve">A continuación, se presentan los artículos en los cuales se considera existe una problemática </w:t>
      </w:r>
      <w:r w:rsidR="000914C0" w:rsidRPr="000914C0">
        <w:rPr>
          <w:rFonts w:ascii="Verdana" w:hAnsi="Verdana"/>
          <w:sz w:val="22"/>
          <w:szCs w:val="22"/>
        </w:rPr>
        <w:t>relacionada:</w:t>
      </w:r>
    </w:p>
    <w:p w14:paraId="071DED5A" w14:textId="26F9D6D4" w:rsidR="00222F78" w:rsidRPr="000914C0" w:rsidRDefault="00222F78" w:rsidP="008D18A8">
      <w:pPr>
        <w:jc w:val="both"/>
        <w:rPr>
          <w:rFonts w:ascii="Verdana" w:hAnsi="Verdana"/>
          <w:sz w:val="22"/>
          <w:szCs w:val="22"/>
        </w:rPr>
      </w:pPr>
    </w:p>
    <w:p w14:paraId="4EBE9B5C" w14:textId="070D276C" w:rsidR="00C57AE1" w:rsidRPr="000914C0" w:rsidRDefault="00C57AE1" w:rsidP="00C57AE1">
      <w:pPr>
        <w:jc w:val="both"/>
        <w:rPr>
          <w:rFonts w:ascii="Verdana" w:hAnsi="Verdana"/>
          <w:sz w:val="22"/>
          <w:szCs w:val="22"/>
        </w:rPr>
      </w:pPr>
      <w:r w:rsidRPr="000914C0">
        <w:rPr>
          <w:rFonts w:ascii="Verdana" w:hAnsi="Verdana"/>
          <w:sz w:val="22"/>
          <w:szCs w:val="22"/>
        </w:rPr>
        <w:t xml:space="preserve">El proyecto plantea un problema en términos del concepto de arma blanca, el articulo 8 menciona “ni instrumentos que puedan emplearse en la comisión de hechos que pongan en peligro la vida y la integridad personal o el patrimonio económico de las personas” por lo cual preocupa que la definición amplia pueda vulnerar los derechos de la ciudadanía frente a las posibles extralimitaciones que pueden presentarse con algunos integrantes de la fuerza pública. </w:t>
      </w:r>
    </w:p>
    <w:p w14:paraId="015AF483" w14:textId="77777777" w:rsidR="00C57AE1" w:rsidRPr="000914C0" w:rsidRDefault="00C57AE1" w:rsidP="00C57AE1">
      <w:pPr>
        <w:jc w:val="both"/>
        <w:rPr>
          <w:rFonts w:ascii="Verdana" w:hAnsi="Verdana"/>
          <w:sz w:val="22"/>
          <w:szCs w:val="22"/>
        </w:rPr>
      </w:pPr>
    </w:p>
    <w:p w14:paraId="19630222" w14:textId="3AF46199" w:rsidR="00C57AE1" w:rsidRPr="000914C0" w:rsidRDefault="00C57AE1" w:rsidP="00C57AE1">
      <w:pPr>
        <w:jc w:val="both"/>
        <w:rPr>
          <w:rFonts w:ascii="Verdana" w:hAnsi="Verdana"/>
          <w:sz w:val="22"/>
          <w:szCs w:val="22"/>
        </w:rPr>
      </w:pPr>
      <w:r w:rsidRPr="000914C0">
        <w:rPr>
          <w:rFonts w:ascii="Verdana" w:hAnsi="Verdana"/>
          <w:sz w:val="22"/>
          <w:szCs w:val="22"/>
        </w:rPr>
        <w:t xml:space="preserve">Por otro lado se podría ver vulnerada la autonomía de las comunidades en las regiones según ARTICULO 4: El PLAN NACIONAL DE DESARME CIUDADANO, busca llegar a diferentes poblaciones y por ende cada municipio creará las estrategias necesarias y particulares para el cumplimiento de la normativa con el fin de llegar diferenciadamente a menores de edad, poblaciones protegidas constitucionalmente, grupos minoritarios y demás poblaciones identificadas en diagnósticos de variables como ciclos vitales y ubicación geográfica según afectación del fenómeno de agresiones en el municipio de acuerdo a las cifras oficiales de Policía, Fiscalía, Cuerpo Técnico de Investigación de la </w:t>
      </w:r>
      <w:r w:rsidR="000914C0" w:rsidRPr="000914C0">
        <w:rPr>
          <w:rFonts w:ascii="Verdana" w:hAnsi="Verdana"/>
          <w:sz w:val="22"/>
          <w:szCs w:val="22"/>
        </w:rPr>
        <w:t>Fiscalía</w:t>
      </w:r>
      <w:r w:rsidRPr="000914C0">
        <w:rPr>
          <w:rFonts w:ascii="Verdana" w:hAnsi="Verdana"/>
          <w:sz w:val="22"/>
          <w:szCs w:val="22"/>
        </w:rPr>
        <w:t>, Ejército y Medicina Legal.</w:t>
      </w:r>
    </w:p>
    <w:p w14:paraId="0655A334" w14:textId="77777777" w:rsidR="00C57AE1" w:rsidRPr="000914C0" w:rsidRDefault="00C57AE1" w:rsidP="00C57AE1">
      <w:pPr>
        <w:jc w:val="both"/>
        <w:rPr>
          <w:rFonts w:ascii="Verdana" w:hAnsi="Verdana"/>
          <w:sz w:val="22"/>
          <w:szCs w:val="22"/>
        </w:rPr>
      </w:pPr>
    </w:p>
    <w:p w14:paraId="1E62C07F" w14:textId="77777777" w:rsidR="00C57AE1" w:rsidRPr="000914C0" w:rsidRDefault="00C57AE1" w:rsidP="00C57AE1">
      <w:pPr>
        <w:jc w:val="both"/>
        <w:rPr>
          <w:rFonts w:ascii="Verdana" w:hAnsi="Verdana" w:cs="Arial"/>
          <w:sz w:val="22"/>
          <w:szCs w:val="22"/>
        </w:rPr>
      </w:pPr>
      <w:r w:rsidRPr="000914C0">
        <w:rPr>
          <w:rFonts w:ascii="Verdana" w:hAnsi="Verdana" w:cs="Arial"/>
          <w:sz w:val="22"/>
          <w:szCs w:val="22"/>
        </w:rPr>
        <w:t>ARTÍCULO 9: – Las autoridades territoriales, gobernadores y alcaldes coordinaran con la Policía Nacional el desarrollo de operativos a efecto de dar cumplimiento al objeto de la presente ley.</w:t>
      </w:r>
    </w:p>
    <w:p w14:paraId="4D7F859D" w14:textId="77777777" w:rsidR="00C57AE1" w:rsidRPr="000914C0" w:rsidRDefault="00C57AE1" w:rsidP="00C57AE1">
      <w:pPr>
        <w:jc w:val="both"/>
        <w:rPr>
          <w:rFonts w:ascii="Verdana" w:hAnsi="Verdana"/>
          <w:sz w:val="22"/>
          <w:szCs w:val="22"/>
        </w:rPr>
      </w:pPr>
    </w:p>
    <w:p w14:paraId="3035C671" w14:textId="77777777" w:rsidR="00C57AE1" w:rsidRPr="000914C0" w:rsidRDefault="00C57AE1" w:rsidP="00C57AE1">
      <w:pPr>
        <w:jc w:val="both"/>
        <w:rPr>
          <w:rFonts w:ascii="Verdana" w:hAnsi="Verdana"/>
          <w:sz w:val="22"/>
          <w:szCs w:val="22"/>
        </w:rPr>
      </w:pPr>
      <w:r w:rsidRPr="000914C0">
        <w:rPr>
          <w:rFonts w:ascii="Verdana" w:hAnsi="Verdana"/>
          <w:sz w:val="22"/>
          <w:szCs w:val="22"/>
        </w:rPr>
        <w:t>ARTICULO 11: En el caso de que en los operativos se configuren comportamientos contrarios a la convivencia las autoridades de policía deberán dar aplicación a las medidas correctivas de que habla la Ley 1801 de 2016. En caso de que el comportamiento contrario a la convivencia también constituya una conducta tipificada en el Código Penal la autoridad de policía lo pondrá en conocimiento de la Fiscalía General de la Nación</w:t>
      </w:r>
    </w:p>
    <w:p w14:paraId="1A0ABC83" w14:textId="77777777" w:rsidR="00C57AE1" w:rsidRPr="000914C0" w:rsidRDefault="00C57AE1" w:rsidP="00C57AE1">
      <w:pPr>
        <w:jc w:val="both"/>
        <w:rPr>
          <w:rFonts w:ascii="Verdana" w:hAnsi="Verdana"/>
          <w:sz w:val="22"/>
          <w:szCs w:val="22"/>
        </w:rPr>
      </w:pPr>
    </w:p>
    <w:p w14:paraId="28EEB0CD" w14:textId="77777777" w:rsidR="00C57AE1" w:rsidRPr="000914C0" w:rsidRDefault="00C57AE1" w:rsidP="00C57AE1">
      <w:pPr>
        <w:jc w:val="both"/>
        <w:rPr>
          <w:rFonts w:ascii="Verdana" w:hAnsi="Verdana"/>
          <w:iCs/>
          <w:color w:val="000000"/>
          <w:sz w:val="22"/>
          <w:szCs w:val="22"/>
          <w:shd w:val="clear" w:color="auto" w:fill="FFFFFF"/>
        </w:rPr>
      </w:pPr>
      <w:r w:rsidRPr="000914C0">
        <w:rPr>
          <w:rFonts w:ascii="Verdana" w:hAnsi="Verdana"/>
          <w:sz w:val="22"/>
          <w:szCs w:val="22"/>
        </w:rPr>
        <w:lastRenderedPageBreak/>
        <w:t>ARTÍCULO 12°. El Gobierno Nacional a través del Ministerio de Defensa Nacional, proporcionará los criterios y orientaciones requeridas para el cabal cumplimiento de lo dispuesto en la presente ley. A su vez las entidades territoriales, en ejercicio de las funciones de garantía de la seguridad y orden público desarrollarán los planes que implementen y desarrollen el PLAN NACIONAL DE DESARME CIUDADANO</w:t>
      </w:r>
    </w:p>
    <w:p w14:paraId="1A9D811A" w14:textId="41BD3D3D" w:rsidR="00C57AE1" w:rsidRPr="000914C0" w:rsidRDefault="00C57AE1" w:rsidP="008D18A8">
      <w:pPr>
        <w:jc w:val="both"/>
        <w:rPr>
          <w:rFonts w:ascii="Verdana" w:hAnsi="Verdana"/>
          <w:sz w:val="22"/>
          <w:szCs w:val="22"/>
        </w:rPr>
      </w:pPr>
    </w:p>
    <w:p w14:paraId="5FA172E9" w14:textId="77777777" w:rsidR="00C57AE1" w:rsidRPr="000914C0" w:rsidRDefault="00C57AE1" w:rsidP="00C57AE1">
      <w:pPr>
        <w:jc w:val="both"/>
        <w:rPr>
          <w:rFonts w:ascii="Verdana" w:hAnsi="Verdana"/>
          <w:iCs/>
          <w:color w:val="000000"/>
          <w:sz w:val="22"/>
          <w:szCs w:val="22"/>
          <w:shd w:val="clear" w:color="auto" w:fill="FFFFFF"/>
        </w:rPr>
      </w:pPr>
      <w:r w:rsidRPr="000914C0">
        <w:rPr>
          <w:rFonts w:ascii="Verdana" w:hAnsi="Verdana"/>
          <w:sz w:val="22"/>
          <w:szCs w:val="22"/>
        </w:rPr>
        <w:t xml:space="preserve">Frente al artículo 4, el artículo 330 de la Constitución nacional frente a los consejos indígenas manda colaborar con la conservación del orden público dentro de su ámbito territorial, siguiendo exclusivamente las órdenes y reglas del gobierno nacional </w:t>
      </w:r>
      <w:proofErr w:type="spellStart"/>
      <w:r w:rsidRPr="000914C0">
        <w:rPr>
          <w:rFonts w:ascii="Verdana" w:hAnsi="Verdana"/>
          <w:sz w:val="22"/>
          <w:szCs w:val="22"/>
        </w:rPr>
        <w:t>nacional</w:t>
      </w:r>
      <w:proofErr w:type="spellEnd"/>
      <w:r w:rsidRPr="000914C0">
        <w:rPr>
          <w:rFonts w:ascii="Verdana" w:hAnsi="Verdana"/>
          <w:sz w:val="22"/>
          <w:szCs w:val="22"/>
        </w:rPr>
        <w:t xml:space="preserve">. Empero, cabe resaltar que, para estos efectos, la Constitución determina que los territorios indígenas (y por ende sus autoridades) no están subordinados a los alcaldes con quienes compartan la condición territorial ni tampoco a los gobernadores que se encontraren en la misma circunstancia, evitando el conflicto de intereses que podría llegar a presentarse cuando se involucraran entidades territoriales indígenas que comprendan más de un municipio o departamento. Asimismo, el proyecto desconocería el Acuerdo Final en el que hay un compromiso por parte del Estado de reconocer a las guardias campesinas, indígenas y cimarronas, de tal forma que se estaría violando estos mecanismos de autoprotección de las comunidades. </w:t>
      </w:r>
    </w:p>
    <w:p w14:paraId="4FC23B12" w14:textId="77777777" w:rsidR="00C57AE1" w:rsidRPr="000914C0" w:rsidRDefault="00C57AE1" w:rsidP="00C57AE1">
      <w:pPr>
        <w:jc w:val="both"/>
        <w:rPr>
          <w:rFonts w:ascii="Verdana" w:hAnsi="Verdana"/>
          <w:iCs/>
          <w:color w:val="000000"/>
          <w:sz w:val="22"/>
          <w:szCs w:val="22"/>
          <w:shd w:val="clear" w:color="auto" w:fill="FFFFFF"/>
        </w:rPr>
      </w:pPr>
    </w:p>
    <w:p w14:paraId="696106FD" w14:textId="77777777" w:rsidR="00C57AE1" w:rsidRPr="000914C0" w:rsidRDefault="00C57AE1" w:rsidP="00C57AE1">
      <w:pPr>
        <w:jc w:val="both"/>
        <w:rPr>
          <w:rFonts w:ascii="Verdana" w:hAnsi="Verdana"/>
          <w:sz w:val="22"/>
          <w:szCs w:val="22"/>
        </w:rPr>
      </w:pPr>
      <w:r w:rsidRPr="000914C0">
        <w:rPr>
          <w:rFonts w:ascii="Verdana" w:hAnsi="Verdana"/>
          <w:sz w:val="22"/>
          <w:szCs w:val="22"/>
        </w:rPr>
        <w:t xml:space="preserve">Frente al artículo 9 no se establecen cuáles serían las limitaciones y alcances de dichos operativos, debe siempre ponerse de primero los derechos constitucionales de la ciudadanía, no es posible establecer mecanismos de vigilancia masiva que, por su ausencia de definiciones y límites, y por su falta de ponderación entre medios y fines, resultan violatorios del derecho a la intimidad y al habeas data. </w:t>
      </w:r>
    </w:p>
    <w:p w14:paraId="4A5615DD" w14:textId="77777777" w:rsidR="00C57AE1" w:rsidRPr="000914C0" w:rsidRDefault="00C57AE1" w:rsidP="00C57AE1">
      <w:pPr>
        <w:jc w:val="both"/>
        <w:rPr>
          <w:rFonts w:ascii="Verdana" w:hAnsi="Verdana"/>
          <w:sz w:val="22"/>
          <w:szCs w:val="22"/>
        </w:rPr>
      </w:pPr>
    </w:p>
    <w:p w14:paraId="6391A616" w14:textId="77777777" w:rsidR="00C57AE1" w:rsidRPr="000914C0" w:rsidRDefault="00C57AE1" w:rsidP="00C57AE1">
      <w:pPr>
        <w:jc w:val="both"/>
        <w:rPr>
          <w:rFonts w:ascii="Verdana" w:hAnsi="Verdana"/>
          <w:sz w:val="22"/>
          <w:szCs w:val="22"/>
        </w:rPr>
      </w:pPr>
      <w:r w:rsidRPr="000914C0">
        <w:rPr>
          <w:rFonts w:ascii="Verdana" w:hAnsi="Verdana"/>
          <w:sz w:val="22"/>
          <w:szCs w:val="22"/>
        </w:rPr>
        <w:t xml:space="preserve">Frente al artículo 11, debe aclararse que, en abril del 2017, la Corte Constitucional tumbó varios artículos del nuevo Código, específicamente desde el 47 hasta el 75 y siguen pendientes por emitir sentencia de muchas otras normas violatorias de la constitución establecidas en el código de policía. </w:t>
      </w:r>
    </w:p>
    <w:p w14:paraId="659D7BEC" w14:textId="77777777" w:rsidR="00C57AE1" w:rsidRPr="000914C0" w:rsidRDefault="00C57AE1" w:rsidP="00C57AE1">
      <w:pPr>
        <w:jc w:val="both"/>
        <w:rPr>
          <w:rFonts w:ascii="Verdana" w:hAnsi="Verdana"/>
          <w:sz w:val="22"/>
          <w:szCs w:val="22"/>
        </w:rPr>
      </w:pPr>
    </w:p>
    <w:p w14:paraId="65A7F615" w14:textId="123B5228" w:rsidR="00C57AE1" w:rsidRPr="000914C0" w:rsidRDefault="00C57AE1" w:rsidP="00C57AE1">
      <w:pPr>
        <w:jc w:val="both"/>
        <w:rPr>
          <w:rFonts w:ascii="Verdana" w:hAnsi="Verdana"/>
          <w:bCs/>
          <w:sz w:val="22"/>
          <w:szCs w:val="22"/>
        </w:rPr>
      </w:pPr>
      <w:r w:rsidRPr="000914C0">
        <w:rPr>
          <w:rFonts w:ascii="Verdana" w:hAnsi="Verdana"/>
          <w:sz w:val="22"/>
          <w:szCs w:val="22"/>
        </w:rPr>
        <w:t>Frente al artículo 12 se debe incluir también a los demás</w:t>
      </w:r>
      <w:r w:rsidRPr="000914C0">
        <w:rPr>
          <w:rFonts w:ascii="Verdana" w:hAnsi="Verdana"/>
          <w:bCs/>
          <w:sz w:val="22"/>
          <w:szCs w:val="22"/>
        </w:rPr>
        <w:t xml:space="preserve"> actores de construcción de política pública, más allá del ministerio de Defensa, debe emprenderse un accionar participativo que de manera amplia logre consolidar los aportes de las principales organizaciones de sociedad civil en el desarrollo de este tipo de </w:t>
      </w:r>
      <w:r w:rsidRPr="000914C0">
        <w:rPr>
          <w:rFonts w:ascii="Verdana" w:hAnsi="Verdana"/>
          <w:sz w:val="22"/>
          <w:szCs w:val="22"/>
        </w:rPr>
        <w:t>planes</w:t>
      </w:r>
      <w:r w:rsidR="000914C0">
        <w:rPr>
          <w:rFonts w:ascii="Verdana" w:hAnsi="Verdana"/>
          <w:bCs/>
          <w:sz w:val="22"/>
          <w:szCs w:val="22"/>
        </w:rPr>
        <w:t>.</w:t>
      </w:r>
    </w:p>
    <w:p w14:paraId="77986C4D" w14:textId="0434C6FC" w:rsidR="00C57AE1" w:rsidRDefault="00C57AE1" w:rsidP="00C57AE1">
      <w:pPr>
        <w:jc w:val="both"/>
        <w:rPr>
          <w:rFonts w:ascii="Verdana" w:hAnsi="Verdana"/>
          <w:sz w:val="22"/>
          <w:szCs w:val="22"/>
        </w:rPr>
      </w:pPr>
    </w:p>
    <w:p w14:paraId="3C36ACF8" w14:textId="02B3132D" w:rsidR="00C464E3" w:rsidRDefault="00C464E3" w:rsidP="00C57AE1">
      <w:pPr>
        <w:jc w:val="both"/>
        <w:rPr>
          <w:rFonts w:ascii="Verdana" w:hAnsi="Verdana"/>
          <w:sz w:val="22"/>
          <w:szCs w:val="22"/>
        </w:rPr>
      </w:pPr>
    </w:p>
    <w:p w14:paraId="2AF35E25" w14:textId="77777777" w:rsidR="00C464E3" w:rsidRPr="000914C0" w:rsidRDefault="00C464E3" w:rsidP="00C57AE1">
      <w:pPr>
        <w:jc w:val="both"/>
        <w:rPr>
          <w:rFonts w:ascii="Verdana" w:hAnsi="Verdana"/>
          <w:sz w:val="22"/>
          <w:szCs w:val="22"/>
        </w:rPr>
      </w:pPr>
      <w:bookmarkStart w:id="0" w:name="_GoBack"/>
      <w:bookmarkEnd w:id="0"/>
    </w:p>
    <w:p w14:paraId="3617DD5D" w14:textId="556D9A1D"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r w:rsidRPr="000914C0">
        <w:rPr>
          <w:rStyle w:val="Textoennegrita"/>
          <w:rFonts w:ascii="Verdana" w:hAnsi="Verdana" w:cstheme="minorHAnsi"/>
          <w:b w:val="0"/>
          <w:color w:val="000000" w:themeColor="text1"/>
          <w:sz w:val="22"/>
          <w:szCs w:val="22"/>
        </w:rPr>
        <w:lastRenderedPageBreak/>
        <w:t>Según cifras del Instituto Nacional de Medicina Legal y Ciencias Forenses</w:t>
      </w:r>
      <w:r w:rsidRPr="000914C0">
        <w:rPr>
          <w:rFonts w:ascii="Verdana" w:hAnsi="Verdana" w:cstheme="minorHAnsi"/>
          <w:color w:val="000000" w:themeColor="text1"/>
          <w:sz w:val="22"/>
          <w:szCs w:val="22"/>
        </w:rPr>
        <w:t>, a 31 de mayo de este año se registraron 4.665 homicidios, de los cuales 3.396 fueron causados por arma de fuego y 963 con algún tipo de arma blanca, a 843 hombres y a 130 mujeres. Así mismo, durante el año 2017 se presentaron 11.373 homicidios en todo el país, 8.143 fueron provocados con armas de fuego y 2.521 con arma blanca, en modalidades como vicariato, riñas y atraco; 1.150 de estos tuvieron lugar en Bogotá, con la muerte de 1.040 hombres y 110 mujeres.</w:t>
      </w:r>
    </w:p>
    <w:p w14:paraId="4AB323B4" w14:textId="77777777"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p>
    <w:p w14:paraId="4C93FA46" w14:textId="77777777"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r w:rsidRPr="000914C0">
        <w:rPr>
          <w:rFonts w:ascii="Verdana" w:hAnsi="Verdana" w:cstheme="minorHAnsi"/>
          <w:color w:val="000000" w:themeColor="text1"/>
          <w:sz w:val="22"/>
          <w:szCs w:val="22"/>
        </w:rPr>
        <w:t xml:space="preserve">Si bien, la iniciativa responde a la preocupación de los colombianos y de las autoridades por el aumento de los homicidios ocasionados con este tipo de arma, entre las cuales se incluyen cuchillos, puñales, puñaleas, navajas y otros similares utilizados como armas de carácter defensivo u ofensivo. </w:t>
      </w:r>
    </w:p>
    <w:p w14:paraId="63F51FD3" w14:textId="77777777"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p>
    <w:p w14:paraId="39D8D70B" w14:textId="57E0E215"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pacing w:val="6"/>
          <w:sz w:val="22"/>
          <w:szCs w:val="22"/>
        </w:rPr>
      </w:pPr>
      <w:r w:rsidRPr="000914C0">
        <w:rPr>
          <w:rFonts w:ascii="Verdana" w:hAnsi="Verdana" w:cstheme="minorHAnsi"/>
          <w:color w:val="000000" w:themeColor="text1"/>
          <w:sz w:val="22"/>
          <w:szCs w:val="22"/>
        </w:rPr>
        <w:t xml:space="preserve">Es necesaria una política de </w:t>
      </w:r>
      <w:r w:rsidRPr="000914C0">
        <w:rPr>
          <w:rFonts w:ascii="Verdana" w:hAnsi="Verdana" w:cstheme="minorHAnsi"/>
          <w:color w:val="000000" w:themeColor="text1"/>
          <w:spacing w:val="6"/>
          <w:sz w:val="22"/>
          <w:szCs w:val="22"/>
        </w:rPr>
        <w:t xml:space="preserve">inclusión social. Esa es la mejor política de seguridad preventiva que pueda existir. Prevención es inclusión y superar la segregación social es el camino más cierto de prevención de la violencia urbana y el delito. Hemos insistido que la seguridad ciudadana se construye desde un enfoque de garantía de derechos y libertades ciudadanas, el accionar y el abuso policivo pueden ser un riesgo para este tipo de iniciativas, por lo que debemos mejorar el camino hacia la prevención del delito como resultado de la realización de dichos derechos. </w:t>
      </w:r>
    </w:p>
    <w:p w14:paraId="694E3078" w14:textId="4F8FE586" w:rsidR="00C57AE1" w:rsidRPr="000914C0"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p>
    <w:p w14:paraId="5E65341F" w14:textId="08CB78B7" w:rsidR="00C57AE1" w:rsidRDefault="00C57AE1"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p>
    <w:p w14:paraId="00E2B018" w14:textId="77777777" w:rsidR="000914C0" w:rsidRPr="000914C0" w:rsidRDefault="000914C0" w:rsidP="00C57AE1">
      <w:pPr>
        <w:pStyle w:val="NormalWeb"/>
        <w:shd w:val="clear" w:color="auto" w:fill="FFFFFF"/>
        <w:spacing w:before="0" w:beforeAutospacing="0" w:after="0" w:afterAutospacing="0"/>
        <w:jc w:val="both"/>
        <w:rPr>
          <w:rFonts w:ascii="Verdana" w:hAnsi="Verdana" w:cstheme="minorHAnsi"/>
          <w:color w:val="000000" w:themeColor="text1"/>
          <w:sz w:val="22"/>
          <w:szCs w:val="22"/>
        </w:rPr>
      </w:pPr>
    </w:p>
    <w:p w14:paraId="5BF69DA5" w14:textId="77777777" w:rsidR="008D18A8" w:rsidRPr="000914C0" w:rsidRDefault="008D18A8" w:rsidP="008D18A8">
      <w:pPr>
        <w:jc w:val="both"/>
        <w:rPr>
          <w:rFonts w:ascii="Verdana" w:hAnsi="Verdana"/>
          <w:b/>
          <w:sz w:val="22"/>
          <w:szCs w:val="22"/>
        </w:rPr>
      </w:pPr>
      <w:r w:rsidRPr="000914C0">
        <w:rPr>
          <w:rFonts w:ascii="Verdana" w:hAnsi="Verdana"/>
          <w:b/>
          <w:sz w:val="22"/>
          <w:szCs w:val="22"/>
        </w:rPr>
        <w:t>VI. PROPOSICIÓN</w:t>
      </w:r>
    </w:p>
    <w:p w14:paraId="1F0A9C2F" w14:textId="7B05A931" w:rsidR="008D18A8" w:rsidRPr="000914C0" w:rsidRDefault="008D18A8" w:rsidP="008D18A8">
      <w:pPr>
        <w:jc w:val="both"/>
        <w:rPr>
          <w:rFonts w:ascii="Verdana" w:hAnsi="Verdana"/>
          <w:sz w:val="22"/>
          <w:szCs w:val="22"/>
        </w:rPr>
      </w:pPr>
    </w:p>
    <w:p w14:paraId="2338A7F3" w14:textId="77777777" w:rsidR="00C57AE1" w:rsidRPr="000914C0" w:rsidRDefault="00C57AE1" w:rsidP="008D18A8">
      <w:pPr>
        <w:jc w:val="both"/>
        <w:rPr>
          <w:rFonts w:ascii="Verdana" w:hAnsi="Verdana"/>
          <w:sz w:val="22"/>
          <w:szCs w:val="22"/>
        </w:rPr>
      </w:pPr>
    </w:p>
    <w:p w14:paraId="7BB435D0" w14:textId="77777777" w:rsidR="00C57AE1" w:rsidRPr="000914C0" w:rsidRDefault="008D18A8" w:rsidP="00C57AE1">
      <w:pPr>
        <w:autoSpaceDE w:val="0"/>
        <w:autoSpaceDN w:val="0"/>
        <w:adjustRightInd w:val="0"/>
        <w:jc w:val="both"/>
        <w:rPr>
          <w:rFonts w:ascii="Verdana" w:hAnsi="Verdana" w:cs="P˝ˇ ˛"/>
          <w:b/>
          <w:color w:val="000000" w:themeColor="text1"/>
          <w:sz w:val="22"/>
          <w:szCs w:val="22"/>
        </w:rPr>
      </w:pPr>
      <w:r w:rsidRPr="000914C0">
        <w:rPr>
          <w:rFonts w:ascii="Verdana" w:hAnsi="Verdana"/>
          <w:sz w:val="22"/>
          <w:szCs w:val="22"/>
        </w:rPr>
        <w:t xml:space="preserve">Con fundamento en las razones aquí expuestas, proponemos de manera respetuosa a los honorables representantes de la </w:t>
      </w:r>
      <w:r w:rsidR="00420B2A" w:rsidRPr="000914C0">
        <w:rPr>
          <w:rFonts w:ascii="Verdana" w:hAnsi="Verdana"/>
          <w:sz w:val="22"/>
          <w:szCs w:val="22"/>
        </w:rPr>
        <w:t>Plenaria</w:t>
      </w:r>
      <w:r w:rsidRPr="000914C0">
        <w:rPr>
          <w:rFonts w:ascii="Verdana" w:hAnsi="Verdana"/>
          <w:sz w:val="22"/>
          <w:szCs w:val="22"/>
        </w:rPr>
        <w:t xml:space="preserve"> de la Cámara</w:t>
      </w:r>
      <w:r w:rsidR="00420B2A" w:rsidRPr="000914C0">
        <w:rPr>
          <w:rFonts w:ascii="Verdana" w:hAnsi="Verdana"/>
          <w:sz w:val="22"/>
          <w:szCs w:val="22"/>
        </w:rPr>
        <w:t xml:space="preserve"> de Representantes</w:t>
      </w:r>
      <w:r w:rsidRPr="000914C0">
        <w:rPr>
          <w:rFonts w:ascii="Verdana" w:hAnsi="Verdana"/>
          <w:sz w:val="22"/>
          <w:szCs w:val="22"/>
        </w:rPr>
        <w:t xml:space="preserve"> </w:t>
      </w:r>
      <w:r w:rsidRPr="000914C0">
        <w:rPr>
          <w:rFonts w:ascii="Verdana" w:hAnsi="Verdana"/>
          <w:b/>
          <w:sz w:val="22"/>
          <w:szCs w:val="22"/>
        </w:rPr>
        <w:t>ARCHIVAR</w:t>
      </w:r>
      <w:r w:rsidRPr="000914C0">
        <w:rPr>
          <w:rFonts w:ascii="Verdana" w:hAnsi="Verdana"/>
          <w:sz w:val="22"/>
          <w:szCs w:val="22"/>
        </w:rPr>
        <w:t xml:space="preserve"> el </w:t>
      </w:r>
      <w:r w:rsidRPr="000914C0">
        <w:rPr>
          <w:rFonts w:ascii="Verdana" w:hAnsi="Verdana"/>
          <w:b/>
          <w:sz w:val="22"/>
          <w:szCs w:val="22"/>
        </w:rPr>
        <w:t>Proy</w:t>
      </w:r>
      <w:r w:rsidR="00420B2A" w:rsidRPr="000914C0">
        <w:rPr>
          <w:rFonts w:ascii="Verdana" w:hAnsi="Verdana"/>
          <w:b/>
          <w:sz w:val="22"/>
          <w:szCs w:val="22"/>
        </w:rPr>
        <w:t xml:space="preserve">ecto </w:t>
      </w:r>
      <w:r w:rsidR="00C57AE1" w:rsidRPr="000914C0">
        <w:rPr>
          <w:rFonts w:ascii="Verdana" w:hAnsi="Verdana" w:cs="P˝ˇ ˛"/>
          <w:b/>
          <w:color w:val="000000" w:themeColor="text1"/>
          <w:sz w:val="22"/>
          <w:szCs w:val="22"/>
        </w:rPr>
        <w:t>No. 029 de 2018 Cámara “Por medio de la cual se crea el Plan Nacional de Desarme Blanco Ciudadano”</w:t>
      </w:r>
    </w:p>
    <w:p w14:paraId="78A540C2" w14:textId="138A3142" w:rsidR="00C57AE1" w:rsidRPr="000914C0" w:rsidRDefault="00C57AE1" w:rsidP="008D18A8">
      <w:pPr>
        <w:jc w:val="both"/>
        <w:rPr>
          <w:rFonts w:ascii="Verdana" w:hAnsi="Verdana"/>
          <w:b/>
          <w:sz w:val="22"/>
          <w:szCs w:val="22"/>
        </w:rPr>
      </w:pPr>
    </w:p>
    <w:p w14:paraId="31F270C5" w14:textId="77777777" w:rsidR="00C57AE1" w:rsidRPr="000914C0" w:rsidRDefault="00C57AE1" w:rsidP="008D18A8">
      <w:pPr>
        <w:jc w:val="both"/>
        <w:rPr>
          <w:rFonts w:ascii="Verdana" w:hAnsi="Verdana"/>
          <w:b/>
          <w:sz w:val="22"/>
          <w:szCs w:val="22"/>
        </w:rPr>
      </w:pPr>
    </w:p>
    <w:p w14:paraId="3A5409F6" w14:textId="77777777" w:rsidR="008D18A8" w:rsidRPr="000914C0" w:rsidRDefault="008D18A8" w:rsidP="008D18A8">
      <w:pPr>
        <w:jc w:val="both"/>
        <w:rPr>
          <w:rFonts w:ascii="Verdana" w:hAnsi="Verdana"/>
          <w:sz w:val="22"/>
          <w:szCs w:val="22"/>
        </w:rPr>
      </w:pPr>
      <w:r w:rsidRPr="000914C0">
        <w:rPr>
          <w:rFonts w:ascii="Verdana" w:hAnsi="Verdana"/>
          <w:sz w:val="22"/>
          <w:szCs w:val="22"/>
        </w:rPr>
        <w:t>Cordialmente,</w:t>
      </w:r>
    </w:p>
    <w:p w14:paraId="450EEAF9" w14:textId="77777777" w:rsidR="008D18A8" w:rsidRPr="000914C0" w:rsidRDefault="008D18A8" w:rsidP="008D18A8">
      <w:pPr>
        <w:jc w:val="both"/>
        <w:rPr>
          <w:rFonts w:ascii="Verdana" w:hAnsi="Verdana"/>
          <w:sz w:val="22"/>
          <w:szCs w:val="22"/>
        </w:rPr>
      </w:pPr>
    </w:p>
    <w:p w14:paraId="401390A3" w14:textId="7525F384" w:rsidR="008D18A8" w:rsidRPr="000914C0" w:rsidRDefault="008D18A8" w:rsidP="008D18A8">
      <w:pPr>
        <w:jc w:val="both"/>
        <w:rPr>
          <w:rFonts w:ascii="Verdana" w:hAnsi="Verdana"/>
          <w:sz w:val="22"/>
          <w:szCs w:val="22"/>
        </w:rPr>
      </w:pPr>
    </w:p>
    <w:p w14:paraId="4BFC045E" w14:textId="1E4055E7" w:rsidR="00635112" w:rsidRPr="000914C0" w:rsidRDefault="00635112" w:rsidP="008D18A8">
      <w:pPr>
        <w:jc w:val="both"/>
        <w:rPr>
          <w:rFonts w:ascii="Verdana" w:hAnsi="Verdana"/>
          <w:sz w:val="22"/>
          <w:szCs w:val="22"/>
        </w:rPr>
      </w:pPr>
    </w:p>
    <w:p w14:paraId="43ED2087" w14:textId="37ED2C9F" w:rsidR="00C57AE1" w:rsidRPr="000914C0" w:rsidRDefault="00C57AE1" w:rsidP="008D18A8">
      <w:pPr>
        <w:jc w:val="both"/>
        <w:rPr>
          <w:rFonts w:ascii="Verdana" w:hAnsi="Verdana"/>
          <w:sz w:val="22"/>
          <w:szCs w:val="22"/>
        </w:rPr>
      </w:pPr>
    </w:p>
    <w:p w14:paraId="283A2D7F" w14:textId="77777777" w:rsidR="00635112" w:rsidRPr="000914C0" w:rsidRDefault="00635112" w:rsidP="00635112">
      <w:pPr>
        <w:jc w:val="both"/>
        <w:rPr>
          <w:rFonts w:ascii="Verdana" w:hAnsi="Verdana"/>
          <w:b/>
          <w:sz w:val="22"/>
          <w:szCs w:val="22"/>
        </w:rPr>
      </w:pPr>
      <w:r w:rsidRPr="000914C0">
        <w:rPr>
          <w:rFonts w:ascii="Verdana" w:hAnsi="Verdana"/>
          <w:b/>
          <w:sz w:val="22"/>
          <w:szCs w:val="22"/>
        </w:rPr>
        <w:t>Ángela María Robledo</w:t>
      </w:r>
    </w:p>
    <w:p w14:paraId="5AF0203A" w14:textId="77777777" w:rsidR="00635112" w:rsidRPr="000914C0" w:rsidRDefault="00635112" w:rsidP="00635112">
      <w:pPr>
        <w:jc w:val="both"/>
        <w:rPr>
          <w:rFonts w:ascii="Verdana" w:hAnsi="Verdana"/>
          <w:b/>
          <w:sz w:val="22"/>
          <w:szCs w:val="22"/>
        </w:rPr>
      </w:pPr>
      <w:r w:rsidRPr="000914C0">
        <w:rPr>
          <w:rFonts w:ascii="Verdana" w:hAnsi="Verdana"/>
          <w:b/>
          <w:sz w:val="22"/>
          <w:szCs w:val="22"/>
        </w:rPr>
        <w:t>Representante a la Cámara</w:t>
      </w:r>
    </w:p>
    <w:p w14:paraId="38F6A001" w14:textId="491128A9" w:rsidR="00420B2A" w:rsidRPr="000914C0" w:rsidRDefault="00635112" w:rsidP="00635112">
      <w:pPr>
        <w:jc w:val="both"/>
        <w:rPr>
          <w:rFonts w:ascii="Verdana" w:hAnsi="Verdana"/>
          <w:b/>
          <w:sz w:val="22"/>
          <w:szCs w:val="22"/>
        </w:rPr>
      </w:pPr>
      <w:r w:rsidRPr="000914C0">
        <w:rPr>
          <w:rFonts w:ascii="Verdana" w:hAnsi="Verdana"/>
          <w:b/>
          <w:sz w:val="22"/>
          <w:szCs w:val="22"/>
        </w:rPr>
        <w:t>Colombia Humana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635112" w:rsidRPr="000914C0" w14:paraId="16196480" w14:textId="77777777" w:rsidTr="00635112">
        <w:tc>
          <w:tcPr>
            <w:tcW w:w="4419" w:type="dxa"/>
          </w:tcPr>
          <w:p w14:paraId="109FEBC0" w14:textId="5A023641" w:rsidR="00635112" w:rsidRPr="000914C0" w:rsidRDefault="00635112" w:rsidP="00635112">
            <w:pPr>
              <w:jc w:val="both"/>
              <w:rPr>
                <w:rFonts w:ascii="Verdana" w:hAnsi="Verdana"/>
                <w:b/>
                <w:sz w:val="22"/>
                <w:szCs w:val="22"/>
              </w:rPr>
            </w:pPr>
          </w:p>
        </w:tc>
      </w:tr>
    </w:tbl>
    <w:p w14:paraId="49A08200" w14:textId="1D82AB69" w:rsidR="008D18A8" w:rsidRPr="000914C0" w:rsidRDefault="008D18A8" w:rsidP="008D18A8">
      <w:pPr>
        <w:jc w:val="both"/>
        <w:rPr>
          <w:rFonts w:ascii="Verdana" w:hAnsi="Verdana"/>
          <w:b/>
          <w:sz w:val="22"/>
          <w:szCs w:val="22"/>
        </w:rPr>
      </w:pPr>
    </w:p>
    <w:sectPr w:rsidR="008D18A8" w:rsidRPr="000914C0" w:rsidSect="005A0286">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893A" w14:textId="77777777" w:rsidR="00CA0E08" w:rsidRDefault="00CA0E08" w:rsidP="00874A00">
      <w:r>
        <w:separator/>
      </w:r>
    </w:p>
  </w:endnote>
  <w:endnote w:type="continuationSeparator" w:id="0">
    <w:p w14:paraId="18D31303" w14:textId="77777777" w:rsidR="00CA0E08" w:rsidRDefault="00CA0E08"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ˇ ˛">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324A" w14:textId="77777777" w:rsidR="006640A7" w:rsidRDefault="006640A7">
    <w:pPr>
      <w:pStyle w:val="Piedepgina"/>
    </w:pPr>
  </w:p>
  <w:p w14:paraId="6A173B71" w14:textId="77777777" w:rsidR="006640A7" w:rsidRDefault="006640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D098" w14:textId="77777777" w:rsidR="00CA0E08" w:rsidRDefault="00CA0E08" w:rsidP="00874A00">
      <w:r>
        <w:separator/>
      </w:r>
    </w:p>
  </w:footnote>
  <w:footnote w:type="continuationSeparator" w:id="0">
    <w:p w14:paraId="2C0946BB" w14:textId="77777777" w:rsidR="00CA0E08" w:rsidRDefault="00CA0E08" w:rsidP="00874A00">
      <w:r>
        <w:continuationSeparator/>
      </w:r>
    </w:p>
  </w:footnote>
  <w:footnote w:id="1">
    <w:p w14:paraId="7D3131C5" w14:textId="70B5C75C" w:rsidR="004475A8" w:rsidRPr="004475A8" w:rsidRDefault="004475A8" w:rsidP="004475A8">
      <w:pPr>
        <w:pStyle w:val="Textonotapie"/>
        <w:jc w:val="both"/>
        <w:rPr>
          <w:lang w:val="es-CO"/>
        </w:rPr>
      </w:pPr>
      <w:r>
        <w:rPr>
          <w:rStyle w:val="Refdenotaalpie"/>
        </w:rPr>
        <w:footnoteRef/>
      </w:r>
      <w:r>
        <w:t xml:space="preserve"> </w:t>
      </w:r>
      <w:r w:rsidRPr="004475A8">
        <w:rPr>
          <w:rFonts w:ascii="Verdana" w:hAnsi="Verdana"/>
          <w:sz w:val="18"/>
          <w:szCs w:val="22"/>
        </w:rPr>
        <w:t>Demanda al código de policía, Observatorio de Intervención Ciudadana Constitucional http://www.unilibre.edu.co/bogota/ul/noticias/noticias-universitarias/2542-demanda-contra-el-codigo-de-policia</w:t>
      </w:r>
    </w:p>
  </w:footnote>
  <w:footnote w:id="2">
    <w:p w14:paraId="35FA4CE5" w14:textId="50DFC1A8" w:rsidR="00C464E3" w:rsidRPr="004475A8" w:rsidRDefault="00C464E3" w:rsidP="00C464E3">
      <w:pPr>
        <w:pStyle w:val="Textonotapie"/>
        <w:jc w:val="both"/>
        <w:rPr>
          <w:lang w:val="es-CO"/>
        </w:rPr>
      </w:pPr>
      <w:r>
        <w:rPr>
          <w:rStyle w:val="Refdenotaalpie"/>
        </w:rPr>
        <w:footnoteRef/>
      </w:r>
      <w:r>
        <w:t xml:space="preserve"> </w:t>
      </w:r>
      <w:r>
        <w:rPr>
          <w:rFonts w:ascii="Verdana" w:hAnsi="Verdana"/>
          <w:sz w:val="18"/>
          <w:szCs w:val="22"/>
        </w:rPr>
        <w:t xml:space="preserve">Ibid.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9B46" w14:textId="61F01997" w:rsidR="006640A7" w:rsidRDefault="006640A7" w:rsidP="000C2FBC">
    <w:pPr>
      <w:pStyle w:val="Encabezado"/>
      <w:tabs>
        <w:tab w:val="clear" w:pos="4252"/>
        <w:tab w:val="clear" w:pos="8504"/>
        <w:tab w:val="center" w:pos="4419"/>
      </w:tabs>
    </w:pPr>
    <w:r>
      <w:tab/>
    </w:r>
  </w:p>
  <w:p w14:paraId="60219210" w14:textId="77777777" w:rsidR="006640A7" w:rsidRDefault="006640A7" w:rsidP="000C2FBC">
    <w:pPr>
      <w:pStyle w:val="Encabezado"/>
      <w:tabs>
        <w:tab w:val="clear" w:pos="4252"/>
        <w:tab w:val="clear" w:pos="8504"/>
        <w:tab w:val="center" w:pos="4419"/>
      </w:tabs>
    </w:pPr>
  </w:p>
  <w:p w14:paraId="0DFACCE2" w14:textId="34FD4D70" w:rsidR="00F00F41" w:rsidRPr="00F00F41" w:rsidRDefault="00F00F41" w:rsidP="00F00F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lang w:val="es-CO" w:eastAsia="es-CO"/>
      </w:rPr>
      <w:drawing>
        <wp:inline distT="0" distB="0" distL="0" distR="0" wp14:anchorId="1D5982C7" wp14:editId="4EF994EE">
          <wp:extent cx="2562225" cy="758446"/>
          <wp:effectExtent l="0" t="0" r="0" b="3810"/>
          <wp:docPr id="2"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907" cy="761312"/>
                  </a:xfrm>
                  <a:prstGeom prst="rect">
                    <a:avLst/>
                  </a:prstGeom>
                  <a:noFill/>
                  <a:ln>
                    <a:noFill/>
                  </a:ln>
                </pic:spPr>
              </pic:pic>
            </a:graphicData>
          </a:graphic>
        </wp:inline>
      </w:drawing>
    </w:r>
  </w:p>
  <w:p w14:paraId="3586B7BC" w14:textId="77777777" w:rsidR="006640A7" w:rsidRDefault="006640A7" w:rsidP="000C2FBC">
    <w:pPr>
      <w:pStyle w:val="Encabezado"/>
      <w:tabs>
        <w:tab w:val="clear" w:pos="4252"/>
        <w:tab w:val="clear" w:pos="8504"/>
        <w:tab w:val="center" w:pos="441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2728"/>
    <w:multiLevelType w:val="hybridMultilevel"/>
    <w:tmpl w:val="A5ECE9BA"/>
    <w:lvl w:ilvl="0" w:tplc="1D1E49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2C7919"/>
    <w:multiLevelType w:val="hybridMultilevel"/>
    <w:tmpl w:val="158AB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00"/>
    <w:rsid w:val="000914C0"/>
    <w:rsid w:val="000C2FBC"/>
    <w:rsid w:val="00222F78"/>
    <w:rsid w:val="00301605"/>
    <w:rsid w:val="003B7E21"/>
    <w:rsid w:val="003C0D54"/>
    <w:rsid w:val="00420B2A"/>
    <w:rsid w:val="004475A8"/>
    <w:rsid w:val="0045495B"/>
    <w:rsid w:val="00517A16"/>
    <w:rsid w:val="005A0286"/>
    <w:rsid w:val="005B7100"/>
    <w:rsid w:val="00635112"/>
    <w:rsid w:val="006640A7"/>
    <w:rsid w:val="00711005"/>
    <w:rsid w:val="00741052"/>
    <w:rsid w:val="00753821"/>
    <w:rsid w:val="0075761E"/>
    <w:rsid w:val="007902B6"/>
    <w:rsid w:val="007D6EB1"/>
    <w:rsid w:val="0085162E"/>
    <w:rsid w:val="00874A00"/>
    <w:rsid w:val="008A0E1F"/>
    <w:rsid w:val="008D18A8"/>
    <w:rsid w:val="0090797E"/>
    <w:rsid w:val="00B12753"/>
    <w:rsid w:val="00B9622F"/>
    <w:rsid w:val="00BE7D0F"/>
    <w:rsid w:val="00BF6CA9"/>
    <w:rsid w:val="00C343CA"/>
    <w:rsid w:val="00C464E3"/>
    <w:rsid w:val="00C57AE1"/>
    <w:rsid w:val="00CA0E08"/>
    <w:rsid w:val="00D82DA0"/>
    <w:rsid w:val="00F00F41"/>
    <w:rsid w:val="00F41B35"/>
    <w:rsid w:val="00F50305"/>
    <w:rsid w:val="00F80A9D"/>
    <w:rsid w:val="00FA1C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5734D"/>
  <w14:defaultImageDpi w14:val="300"/>
  <w15:docId w15:val="{C9400728-0945-9749-BF28-428B8E6A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0797E"/>
    <w:rPr>
      <w:sz w:val="16"/>
      <w:szCs w:val="16"/>
    </w:rPr>
  </w:style>
  <w:style w:type="paragraph" w:styleId="Textocomentario">
    <w:name w:val="annotation text"/>
    <w:basedOn w:val="Normal"/>
    <w:link w:val="TextocomentarioCar"/>
    <w:uiPriority w:val="99"/>
    <w:semiHidden/>
    <w:unhideWhenUsed/>
    <w:rsid w:val="0090797E"/>
    <w:rPr>
      <w:sz w:val="20"/>
      <w:szCs w:val="20"/>
    </w:rPr>
  </w:style>
  <w:style w:type="character" w:customStyle="1" w:styleId="TextocomentarioCar">
    <w:name w:val="Texto comentario Car"/>
    <w:basedOn w:val="Fuentedeprrafopredeter"/>
    <w:link w:val="Textocomentario"/>
    <w:uiPriority w:val="99"/>
    <w:semiHidden/>
    <w:rsid w:val="0090797E"/>
    <w:rPr>
      <w:sz w:val="20"/>
      <w:szCs w:val="20"/>
    </w:rPr>
  </w:style>
  <w:style w:type="paragraph" w:styleId="Asuntodelcomentario">
    <w:name w:val="annotation subject"/>
    <w:basedOn w:val="Textocomentario"/>
    <w:next w:val="Textocomentario"/>
    <w:link w:val="AsuntodelcomentarioCar"/>
    <w:uiPriority w:val="99"/>
    <w:semiHidden/>
    <w:unhideWhenUsed/>
    <w:rsid w:val="0090797E"/>
    <w:rPr>
      <w:b/>
      <w:bCs/>
    </w:rPr>
  </w:style>
  <w:style w:type="character" w:customStyle="1" w:styleId="AsuntodelcomentarioCar">
    <w:name w:val="Asunto del comentario Car"/>
    <w:basedOn w:val="TextocomentarioCar"/>
    <w:link w:val="Asuntodelcomentario"/>
    <w:uiPriority w:val="99"/>
    <w:semiHidden/>
    <w:rsid w:val="0090797E"/>
    <w:rPr>
      <w:b/>
      <w:bCs/>
      <w:sz w:val="20"/>
      <w:szCs w:val="20"/>
    </w:rPr>
  </w:style>
  <w:style w:type="paragraph" w:styleId="Revisin">
    <w:name w:val="Revision"/>
    <w:hidden/>
    <w:uiPriority w:val="99"/>
    <w:semiHidden/>
    <w:rsid w:val="0090797E"/>
  </w:style>
  <w:style w:type="paragraph" w:styleId="Prrafodelista">
    <w:name w:val="List Paragraph"/>
    <w:basedOn w:val="Normal"/>
    <w:uiPriority w:val="34"/>
    <w:qFormat/>
    <w:rsid w:val="0090797E"/>
    <w:pPr>
      <w:ind w:left="720"/>
      <w:contextualSpacing/>
    </w:pPr>
  </w:style>
  <w:style w:type="character" w:customStyle="1" w:styleId="apple-converted-space">
    <w:name w:val="apple-converted-space"/>
    <w:basedOn w:val="Fuentedeprrafopredeter"/>
    <w:rsid w:val="0090797E"/>
  </w:style>
  <w:style w:type="paragraph" w:styleId="NormalWeb">
    <w:name w:val="Normal (Web)"/>
    <w:basedOn w:val="Normal"/>
    <w:uiPriority w:val="99"/>
    <w:unhideWhenUsed/>
    <w:rsid w:val="0090797E"/>
    <w:pPr>
      <w:spacing w:before="100" w:beforeAutospacing="1" w:after="100" w:afterAutospacing="1"/>
    </w:pPr>
    <w:rPr>
      <w:rFonts w:ascii="Times" w:hAnsi="Times" w:cs="Times New Roman"/>
      <w:sz w:val="20"/>
      <w:szCs w:val="20"/>
    </w:rPr>
  </w:style>
  <w:style w:type="paragraph" w:styleId="Textoindependiente">
    <w:name w:val="Body Text"/>
    <w:basedOn w:val="Normal"/>
    <w:link w:val="TextoindependienteCar"/>
    <w:uiPriority w:val="1"/>
    <w:qFormat/>
    <w:rsid w:val="00635112"/>
    <w:pPr>
      <w:widowControl w:val="0"/>
      <w:autoSpaceDE w:val="0"/>
      <w:autoSpaceDN w:val="0"/>
    </w:pPr>
    <w:rPr>
      <w:rFonts w:ascii="Arial" w:eastAsia="Arial" w:hAnsi="Arial" w:cs="Arial"/>
      <w:lang w:val="es-ES" w:bidi="es-ES"/>
    </w:rPr>
  </w:style>
  <w:style w:type="character" w:customStyle="1" w:styleId="TextoindependienteCar">
    <w:name w:val="Texto independiente Car"/>
    <w:basedOn w:val="Fuentedeprrafopredeter"/>
    <w:link w:val="Textoindependiente"/>
    <w:uiPriority w:val="1"/>
    <w:rsid w:val="00635112"/>
    <w:rPr>
      <w:rFonts w:ascii="Arial" w:eastAsia="Arial" w:hAnsi="Arial" w:cs="Arial"/>
      <w:lang w:val="es-ES" w:bidi="es-ES"/>
    </w:rPr>
  </w:style>
  <w:style w:type="character" w:customStyle="1" w:styleId="a1">
    <w:name w:val="a1"/>
    <w:basedOn w:val="Fuentedeprrafopredeter"/>
    <w:rsid w:val="00635112"/>
  </w:style>
  <w:style w:type="character" w:styleId="Textoennegrita">
    <w:name w:val="Strong"/>
    <w:basedOn w:val="Fuentedeprrafopredeter"/>
    <w:uiPriority w:val="22"/>
    <w:qFormat/>
    <w:rsid w:val="00635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304">
      <w:bodyDiv w:val="1"/>
      <w:marLeft w:val="0"/>
      <w:marRight w:val="0"/>
      <w:marTop w:val="0"/>
      <w:marBottom w:val="0"/>
      <w:divBdr>
        <w:top w:val="none" w:sz="0" w:space="0" w:color="auto"/>
        <w:left w:val="none" w:sz="0" w:space="0" w:color="auto"/>
        <w:bottom w:val="none" w:sz="0" w:space="0" w:color="auto"/>
        <w:right w:val="none" w:sz="0" w:space="0" w:color="auto"/>
      </w:divBdr>
    </w:div>
    <w:div w:id="775099030">
      <w:bodyDiv w:val="1"/>
      <w:marLeft w:val="0"/>
      <w:marRight w:val="0"/>
      <w:marTop w:val="0"/>
      <w:marBottom w:val="0"/>
      <w:divBdr>
        <w:top w:val="none" w:sz="0" w:space="0" w:color="auto"/>
        <w:left w:val="none" w:sz="0" w:space="0" w:color="auto"/>
        <w:bottom w:val="none" w:sz="0" w:space="0" w:color="auto"/>
        <w:right w:val="none" w:sz="0" w:space="0" w:color="auto"/>
      </w:divBdr>
    </w:div>
    <w:div w:id="1107191932">
      <w:bodyDiv w:val="1"/>
      <w:marLeft w:val="0"/>
      <w:marRight w:val="0"/>
      <w:marTop w:val="0"/>
      <w:marBottom w:val="0"/>
      <w:divBdr>
        <w:top w:val="none" w:sz="0" w:space="0" w:color="auto"/>
        <w:left w:val="none" w:sz="0" w:space="0" w:color="auto"/>
        <w:bottom w:val="none" w:sz="0" w:space="0" w:color="auto"/>
        <w:right w:val="none" w:sz="0" w:space="0" w:color="auto"/>
      </w:divBdr>
      <w:divsChild>
        <w:div w:id="673994991">
          <w:marLeft w:val="0"/>
          <w:marRight w:val="0"/>
          <w:marTop w:val="0"/>
          <w:marBottom w:val="0"/>
          <w:divBdr>
            <w:top w:val="none" w:sz="0" w:space="0" w:color="auto"/>
            <w:left w:val="none" w:sz="0" w:space="0" w:color="auto"/>
            <w:bottom w:val="single" w:sz="12" w:space="8" w:color="D5D5D5"/>
            <w:right w:val="none" w:sz="0" w:space="0" w:color="auto"/>
          </w:divBdr>
          <w:divsChild>
            <w:div w:id="524290833">
              <w:marLeft w:val="0"/>
              <w:marRight w:val="0"/>
              <w:marTop w:val="0"/>
              <w:marBottom w:val="0"/>
              <w:divBdr>
                <w:top w:val="none" w:sz="0" w:space="0" w:color="auto"/>
                <w:left w:val="none" w:sz="0" w:space="0" w:color="auto"/>
                <w:bottom w:val="none" w:sz="0" w:space="0" w:color="auto"/>
                <w:right w:val="none" w:sz="0" w:space="0" w:color="auto"/>
              </w:divBdr>
            </w:div>
          </w:divsChild>
        </w:div>
        <w:div w:id="1765689597">
          <w:marLeft w:val="0"/>
          <w:marRight w:val="0"/>
          <w:marTop w:val="150"/>
          <w:marBottom w:val="342"/>
          <w:divBdr>
            <w:top w:val="none" w:sz="0" w:space="0" w:color="auto"/>
            <w:left w:val="none" w:sz="0" w:space="0" w:color="auto"/>
            <w:bottom w:val="none" w:sz="0" w:space="0" w:color="auto"/>
            <w:right w:val="none" w:sz="0" w:space="0" w:color="auto"/>
          </w:divBdr>
          <w:divsChild>
            <w:div w:id="1577130890">
              <w:marLeft w:val="0"/>
              <w:marRight w:val="0"/>
              <w:marTop w:val="0"/>
              <w:marBottom w:val="0"/>
              <w:divBdr>
                <w:top w:val="none" w:sz="0" w:space="0" w:color="auto"/>
                <w:left w:val="none" w:sz="0" w:space="0" w:color="auto"/>
                <w:bottom w:val="none" w:sz="0" w:space="0" w:color="auto"/>
                <w:right w:val="none" w:sz="0" w:space="0" w:color="auto"/>
              </w:divBdr>
            </w:div>
            <w:div w:id="2111504490">
              <w:marLeft w:val="0"/>
              <w:marRight w:val="0"/>
              <w:marTop w:val="0"/>
              <w:marBottom w:val="0"/>
              <w:divBdr>
                <w:top w:val="none" w:sz="0" w:space="0" w:color="auto"/>
                <w:left w:val="none" w:sz="0" w:space="0" w:color="auto"/>
                <w:bottom w:val="none" w:sz="0" w:space="0" w:color="auto"/>
                <w:right w:val="none" w:sz="0" w:space="0" w:color="auto"/>
              </w:divBdr>
            </w:div>
            <w:div w:id="1797874039">
              <w:marLeft w:val="0"/>
              <w:marRight w:val="0"/>
              <w:marTop w:val="0"/>
              <w:marBottom w:val="0"/>
              <w:divBdr>
                <w:top w:val="none" w:sz="0" w:space="0" w:color="auto"/>
                <w:left w:val="none" w:sz="0" w:space="0" w:color="auto"/>
                <w:bottom w:val="none" w:sz="0" w:space="0" w:color="auto"/>
                <w:right w:val="none" w:sz="0" w:space="0" w:color="auto"/>
              </w:divBdr>
            </w:div>
            <w:div w:id="957878426">
              <w:marLeft w:val="0"/>
              <w:marRight w:val="0"/>
              <w:marTop w:val="0"/>
              <w:marBottom w:val="0"/>
              <w:divBdr>
                <w:top w:val="none" w:sz="0" w:space="0" w:color="auto"/>
                <w:left w:val="none" w:sz="0" w:space="0" w:color="auto"/>
                <w:bottom w:val="none" w:sz="0" w:space="0" w:color="auto"/>
                <w:right w:val="none" w:sz="0" w:space="0" w:color="auto"/>
              </w:divBdr>
            </w:div>
            <w:div w:id="1751538999">
              <w:marLeft w:val="0"/>
              <w:marRight w:val="0"/>
              <w:marTop w:val="0"/>
              <w:marBottom w:val="0"/>
              <w:divBdr>
                <w:top w:val="none" w:sz="0" w:space="0" w:color="auto"/>
                <w:left w:val="none" w:sz="0" w:space="0" w:color="auto"/>
                <w:bottom w:val="none" w:sz="0" w:space="0" w:color="auto"/>
                <w:right w:val="none" w:sz="0" w:space="0" w:color="auto"/>
              </w:divBdr>
            </w:div>
            <w:div w:id="594287771">
              <w:marLeft w:val="0"/>
              <w:marRight w:val="0"/>
              <w:marTop w:val="0"/>
              <w:marBottom w:val="0"/>
              <w:divBdr>
                <w:top w:val="none" w:sz="0" w:space="0" w:color="auto"/>
                <w:left w:val="none" w:sz="0" w:space="0" w:color="auto"/>
                <w:bottom w:val="none" w:sz="0" w:space="0" w:color="auto"/>
                <w:right w:val="none" w:sz="0" w:space="0" w:color="auto"/>
              </w:divBdr>
            </w:div>
            <w:div w:id="1803034696">
              <w:marLeft w:val="0"/>
              <w:marRight w:val="0"/>
              <w:marTop w:val="0"/>
              <w:marBottom w:val="0"/>
              <w:divBdr>
                <w:top w:val="none" w:sz="0" w:space="0" w:color="auto"/>
                <w:left w:val="none" w:sz="0" w:space="0" w:color="auto"/>
                <w:bottom w:val="none" w:sz="0" w:space="0" w:color="auto"/>
                <w:right w:val="none" w:sz="0" w:space="0" w:color="auto"/>
              </w:divBdr>
            </w:div>
            <w:div w:id="18630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2231">
      <w:bodyDiv w:val="1"/>
      <w:marLeft w:val="0"/>
      <w:marRight w:val="0"/>
      <w:marTop w:val="0"/>
      <w:marBottom w:val="0"/>
      <w:divBdr>
        <w:top w:val="none" w:sz="0" w:space="0" w:color="auto"/>
        <w:left w:val="none" w:sz="0" w:space="0" w:color="auto"/>
        <w:bottom w:val="none" w:sz="0" w:space="0" w:color="auto"/>
        <w:right w:val="none" w:sz="0" w:space="0" w:color="auto"/>
      </w:divBdr>
    </w:div>
    <w:div w:id="1373925702">
      <w:bodyDiv w:val="1"/>
      <w:marLeft w:val="0"/>
      <w:marRight w:val="0"/>
      <w:marTop w:val="0"/>
      <w:marBottom w:val="0"/>
      <w:divBdr>
        <w:top w:val="none" w:sz="0" w:space="0" w:color="auto"/>
        <w:left w:val="none" w:sz="0" w:space="0" w:color="auto"/>
        <w:bottom w:val="none" w:sz="0" w:space="0" w:color="auto"/>
        <w:right w:val="none" w:sz="0" w:space="0" w:color="auto"/>
      </w:divBdr>
    </w:div>
    <w:div w:id="1501118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juan-carlos-wills-ospina" TargetMode="External"/><Relationship Id="rId13" Type="http://schemas.openxmlformats.org/officeDocument/2006/relationships/hyperlink" Target="http://www.camara.gov.co/representantes/inti-raul-asprilla-rey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john-jairo-hoyos-garc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mara.gov.co/representantes/luis-alberto-alban-urba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edward-david-rodriguez-rodriguez" TargetMode="External"/><Relationship Id="rId5" Type="http://schemas.openxmlformats.org/officeDocument/2006/relationships/webSettings" Target="webSettings.xml"/><Relationship Id="rId15" Type="http://schemas.openxmlformats.org/officeDocument/2006/relationships/hyperlink" Target="http://www.camara.gov.co/representantes/angela-maria-robledo-gomez" TargetMode="External"/><Relationship Id="rId10" Type="http://schemas.openxmlformats.org/officeDocument/2006/relationships/hyperlink" Target="http://www.camara.gov.co/representantes/alejandro-alberto-vega-pere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gov.co/representantes/buenaventura-leon-leon" TargetMode="External"/><Relationship Id="rId14" Type="http://schemas.openxmlformats.org/officeDocument/2006/relationships/hyperlink" Target="http://www.camara.gov.co/representantes/carlos-german-navas-tal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C45F-38E8-489C-B200-2CB19FAC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2237</Words>
  <Characters>12307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Triana</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brayan david jimenez r utl.HR. Ángela Maria Robledo</cp:lastModifiedBy>
  <cp:revision>4</cp:revision>
  <cp:lastPrinted>2018-11-13T15:09:00Z</cp:lastPrinted>
  <dcterms:created xsi:type="dcterms:W3CDTF">2018-11-08T18:39:00Z</dcterms:created>
  <dcterms:modified xsi:type="dcterms:W3CDTF">2018-11-13T15:09:00Z</dcterms:modified>
</cp:coreProperties>
</file>